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C36A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C36A2A">
            <w:pPr>
              <w:jc w:val="both"/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 w:rsidP="00C36A2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 w:rsidP="00C36A2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C36A2A">
      <w:pPr>
        <w:jc w:val="both"/>
        <w:rPr>
          <w:b/>
          <w:bCs/>
          <w:sz w:val="24"/>
          <w:szCs w:val="24"/>
        </w:rPr>
      </w:pPr>
    </w:p>
    <w:p w:rsidR="003012B1" w:rsidRDefault="003012B1" w:rsidP="00C36A2A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157672">
        <w:rPr>
          <w:strike/>
        </w:rPr>
        <w:t>diplomová</w:t>
      </w:r>
      <w:r>
        <w:t xml:space="preserve"> / bakalářská</w:t>
      </w:r>
    </w:p>
    <w:p w:rsidR="003012B1" w:rsidRDefault="003012B1" w:rsidP="00C36A2A">
      <w:pPr>
        <w:jc w:val="both"/>
      </w:pPr>
    </w:p>
    <w:p w:rsidR="003012B1" w:rsidRDefault="003012B1" w:rsidP="00C36A2A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/ </w:t>
      </w:r>
      <w:r w:rsidRPr="00157672">
        <w:rPr>
          <w:strike/>
        </w:rPr>
        <w:t>oponenta</w:t>
      </w:r>
    </w:p>
    <w:p w:rsidR="003012B1" w:rsidRDefault="003012B1" w:rsidP="00C36A2A">
      <w:pPr>
        <w:jc w:val="both"/>
      </w:pPr>
    </w:p>
    <w:p w:rsidR="003012B1" w:rsidRDefault="003012B1" w:rsidP="00C36A2A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157672">
        <w:t xml:space="preserve"> Mgr. Michal Polák, Ph.D.</w:t>
      </w:r>
    </w:p>
    <w:p w:rsidR="003012B1" w:rsidRDefault="003012B1" w:rsidP="00C36A2A">
      <w:pPr>
        <w:jc w:val="both"/>
        <w:rPr>
          <w:b/>
          <w:bCs/>
        </w:rPr>
      </w:pPr>
    </w:p>
    <w:p w:rsidR="003012B1" w:rsidRDefault="003012B1" w:rsidP="00C36A2A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0B599E">
        <w:t xml:space="preserve">Sergej </w:t>
      </w:r>
      <w:proofErr w:type="spellStart"/>
      <w:r w:rsidR="000B599E">
        <w:t>Kish</w:t>
      </w:r>
      <w:proofErr w:type="spellEnd"/>
    </w:p>
    <w:p w:rsidR="003012B1" w:rsidRDefault="003012B1" w:rsidP="00C36A2A">
      <w:pPr>
        <w:jc w:val="both"/>
      </w:pPr>
    </w:p>
    <w:p w:rsidR="003012B1" w:rsidRDefault="003012B1" w:rsidP="00C36A2A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0B599E" w:rsidRPr="000B599E">
        <w:t>Smysluplnost debaty o svobodě lidské vůle pro širokou veřejnost</w:t>
      </w:r>
    </w:p>
    <w:p w:rsidR="003012B1" w:rsidRDefault="003012B1" w:rsidP="00C36A2A">
      <w:pPr>
        <w:pBdr>
          <w:bottom w:val="single" w:sz="6" w:space="1" w:color="auto"/>
        </w:pBdr>
        <w:jc w:val="both"/>
      </w:pPr>
    </w:p>
    <w:p w:rsidR="003012B1" w:rsidRDefault="003012B1" w:rsidP="00C36A2A">
      <w:pPr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C36A2A">
      <w:pPr>
        <w:ind w:firstLine="284"/>
        <w:jc w:val="both"/>
      </w:pPr>
    </w:p>
    <w:p w:rsidR="003012B1" w:rsidRDefault="003C5B6A" w:rsidP="00837990">
      <w:pPr>
        <w:jc w:val="both"/>
      </w:pPr>
      <w:r>
        <w:t xml:space="preserve">Cílem práce je </w:t>
      </w:r>
      <w:r w:rsidR="000B599E">
        <w:t>„předvést, že vnímání determinismu jako stanoviska, které nedovoluje justifikované trestní právo, a proto je něčím, co nelze předávat laické veřejnosti, je mylné vnímání.“</w:t>
      </w:r>
      <w:r w:rsidR="00455C8B">
        <w:t xml:space="preserve"> </w:t>
      </w:r>
      <w:r w:rsidR="000B599E">
        <w:t>V širším smyslu autor práce usiluje o to, přesvědčit čtenáře, že debata o svobodné vůli má smysl i mimo akademickou půdu</w:t>
      </w:r>
      <w:r w:rsidR="00837990">
        <w:t xml:space="preserve"> a laická veřejnost by měla být o jejích výsledcích informována</w:t>
      </w:r>
      <w:r w:rsidR="000B599E">
        <w:t>.</w:t>
      </w:r>
      <w:r w:rsidR="00837990">
        <w:t xml:space="preserve"> Cíl </w:t>
      </w:r>
      <w:r w:rsidR="000B2CC7">
        <w:t xml:space="preserve">práce </w:t>
      </w:r>
      <w:r w:rsidR="00837990">
        <w:t xml:space="preserve">považuji </w:t>
      </w:r>
      <w:r w:rsidR="000B2CC7">
        <w:t xml:space="preserve">dozajista </w:t>
      </w:r>
      <w:r w:rsidR="00837990">
        <w:t>za splněný.</w:t>
      </w:r>
    </w:p>
    <w:p w:rsidR="00837990" w:rsidRDefault="00837990" w:rsidP="00837990">
      <w:pPr>
        <w:jc w:val="both"/>
      </w:pPr>
    </w:p>
    <w:p w:rsidR="003012B1" w:rsidRDefault="003012B1" w:rsidP="00C36A2A">
      <w:pPr>
        <w:ind w:firstLine="284"/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8E46A2" w:rsidRDefault="0069122B" w:rsidP="00C36A2A">
      <w:pPr>
        <w:jc w:val="both"/>
      </w:pPr>
      <w:r>
        <w:t>Zvolené</w:t>
      </w:r>
      <w:r w:rsidR="00322AE7">
        <w:t xml:space="preserve"> téma je náročné n</w:t>
      </w:r>
      <w:r w:rsidR="00F464EF">
        <w:t xml:space="preserve">a zpracování. Začíná </w:t>
      </w:r>
      <w:r w:rsidR="00322AE7">
        <w:t xml:space="preserve">popisem akademické dialektiky o svobodě vůle a pokračuje vymezením základních koncepcí, které se v této debatě vyskytují (determinismus, </w:t>
      </w:r>
      <w:proofErr w:type="spellStart"/>
      <w:r w:rsidR="00322AE7">
        <w:t>kompatibilismus</w:t>
      </w:r>
      <w:proofErr w:type="spellEnd"/>
      <w:r w:rsidR="00322AE7">
        <w:t xml:space="preserve"> a libertarianismus). </w:t>
      </w:r>
      <w:r w:rsidR="00440D7D">
        <w:t xml:space="preserve">Dále je </w:t>
      </w:r>
      <w:r w:rsidR="00315FE2">
        <w:t>představena hypotetická situace, v níž platí, že svět je deterministický do té míry, že v něm není prostor pro jakékoli svobodné jednání (ve smyslu nemohu jednat jinak). Autor následně diskutuje, zda přijetí takovéto podoby determinismu vede k „apokalypse“</w:t>
      </w:r>
      <w:r w:rsidR="000B2CC7">
        <w:t>. Podle autora jde o tzv. ne</w:t>
      </w:r>
      <w:r w:rsidR="004A6325">
        <w:t>jhorší možný scénář, který implikuje</w:t>
      </w:r>
      <w:r w:rsidR="000B2CC7">
        <w:t>, že determinismus neumožňuje trestání, přičemž absence trestního řádu vede ke kolapsu civilizace. Práce je uzavřena tvrzením, že ani prokázaný determinismus ve vše uvedeném smyslu nepovede ke kolapsu civilizace a to ani v případě, že o platnosti determinismu bude veřejnost pravdivě informována.</w:t>
      </w:r>
      <w:r w:rsidR="00315FE2">
        <w:t xml:space="preserve"> </w:t>
      </w:r>
      <w:r w:rsidR="00440D7D">
        <w:t>S některými tezemi</w:t>
      </w:r>
      <w:r w:rsidR="000B2CC7">
        <w:t xml:space="preserve"> a možná i způsoby, jak k nim autor dospěl, bude možné</w:t>
      </w:r>
      <w:r w:rsidR="00315FE2">
        <w:t xml:space="preserve"> </w:t>
      </w:r>
      <w:r w:rsidR="00440D7D">
        <w:t>nesouhlasit, ale práce každopádně vytváří prostor k jejich diskusi.</w:t>
      </w:r>
    </w:p>
    <w:p w:rsidR="008E46A2" w:rsidRDefault="008E46A2" w:rsidP="00C36A2A">
      <w:pPr>
        <w:jc w:val="both"/>
      </w:pPr>
    </w:p>
    <w:p w:rsidR="0092530E" w:rsidRDefault="00F464EF" w:rsidP="00C36A2A">
      <w:pPr>
        <w:jc w:val="both"/>
      </w:pPr>
      <w:r>
        <w:t xml:space="preserve">Ke kladným stránkám práce patří </w:t>
      </w:r>
      <w:r w:rsidR="0069122B">
        <w:t xml:space="preserve">schopnost </w:t>
      </w:r>
      <w:r w:rsidR="00CF32C2">
        <w:t>věcně</w:t>
      </w:r>
      <w:r w:rsidR="0069122B">
        <w:t xml:space="preserve"> vystihnout pojednávanou problematiku</w:t>
      </w:r>
      <w:r w:rsidR="00CF32C2">
        <w:t xml:space="preserve"> a značná míra samostatného kritického uvažování</w:t>
      </w:r>
      <w:r w:rsidR="0069122B">
        <w:t xml:space="preserve">. Autor je tématem svobodné vůle silně zaujat, zejména pokud jde o napětí mezi determinismem a legitimitou trestního práva. </w:t>
      </w:r>
      <w:r>
        <w:t>V</w:t>
      </w:r>
      <w:r w:rsidR="0069122B">
        <w:t> průběhu celé práce se lze často</w:t>
      </w:r>
      <w:r w:rsidR="000B2CC7">
        <w:t xml:space="preserve"> setkat s kritickým zamyšlením, je</w:t>
      </w:r>
      <w:r w:rsidR="00440D7D">
        <w:t xml:space="preserve">ž nechybí ani </w:t>
      </w:r>
      <w:r>
        <w:t xml:space="preserve">závěru </w:t>
      </w:r>
      <w:r w:rsidR="00440D7D">
        <w:t>práce</w:t>
      </w:r>
      <w:r>
        <w:t xml:space="preserve">. </w:t>
      </w:r>
      <w:r w:rsidR="0092530E">
        <w:t>Použitá literatura je relevantní a autor recipuje zdroje velmi přesně, včetně překladu jednotlivých úryvků.</w:t>
      </w:r>
    </w:p>
    <w:p w:rsidR="005466F9" w:rsidRDefault="005466F9" w:rsidP="00C36A2A">
      <w:pPr>
        <w:jc w:val="both"/>
      </w:pPr>
    </w:p>
    <w:p w:rsidR="005466F9" w:rsidRDefault="00FB6ACB" w:rsidP="00C36A2A">
      <w:pPr>
        <w:jc w:val="both"/>
      </w:pPr>
      <w:r>
        <w:t xml:space="preserve">Práci by </w:t>
      </w:r>
      <w:r w:rsidR="00E65C55">
        <w:t>podle mého místy prospěla jednodušší formulace myšlenek. Někdy je argumentace značně komplikovaná až nepřehledná.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E56991" w:rsidRDefault="00E5699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C36A2A">
      <w:pPr>
        <w:ind w:firstLine="284"/>
        <w:jc w:val="both"/>
      </w:pPr>
    </w:p>
    <w:p w:rsidR="005B399C" w:rsidRDefault="005B399C" w:rsidP="005B399C">
      <w:pPr>
        <w:jc w:val="both"/>
      </w:pPr>
      <w:r>
        <w:t>Práce je členěna logicky a vhodně ji doplňují vysvětlující komentáře pod čarou.</w:t>
      </w:r>
    </w:p>
    <w:p w:rsidR="005B399C" w:rsidRDefault="005B399C" w:rsidP="00C36A2A">
      <w:pPr>
        <w:jc w:val="both"/>
      </w:pPr>
    </w:p>
    <w:p w:rsidR="003C5B6A" w:rsidRDefault="003C5B6A" w:rsidP="00C36A2A">
      <w:pPr>
        <w:jc w:val="both"/>
      </w:pPr>
      <w:r>
        <w:t xml:space="preserve">Jazykově a stylisticky je práce </w:t>
      </w:r>
      <w:r w:rsidR="00455C8B">
        <w:t xml:space="preserve">velmi </w:t>
      </w:r>
      <w:r>
        <w:t>zdařilá</w:t>
      </w:r>
      <w:r w:rsidR="00455C8B">
        <w:t xml:space="preserve"> a čtivá</w:t>
      </w:r>
      <w:r>
        <w:t xml:space="preserve">. </w:t>
      </w:r>
      <w:r w:rsidR="00475B47">
        <w:t>Namátkovou kontrolou nebyly zjištěny nedostatky v citacích. O</w:t>
      </w:r>
      <w:r w:rsidR="004A6325">
        <w:t>dkazy na literaturu i</w:t>
      </w:r>
      <w:r>
        <w:t xml:space="preserve"> grafická úprava textu jsou v pořádku. </w:t>
      </w:r>
      <w:r w:rsidR="00455C8B">
        <w:t>Formální úprava seznamu lite</w:t>
      </w:r>
      <w:r w:rsidR="000B2CC7">
        <w:t>ratury je jednotná.</w:t>
      </w:r>
    </w:p>
    <w:p w:rsidR="005B399C" w:rsidRDefault="005B399C" w:rsidP="00C36A2A">
      <w:pPr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5B399C" w:rsidRDefault="003C5B6A" w:rsidP="005B399C">
      <w:pPr>
        <w:ind w:firstLine="284"/>
        <w:jc w:val="both"/>
      </w:pPr>
      <w:r>
        <w:t xml:space="preserve">Práce je </w:t>
      </w:r>
      <w:r w:rsidR="00475B47">
        <w:t xml:space="preserve">celkově </w:t>
      </w:r>
      <w:r>
        <w:t xml:space="preserve">na </w:t>
      </w:r>
      <w:r w:rsidR="00F436A1">
        <w:t xml:space="preserve">velmi </w:t>
      </w:r>
      <w:r>
        <w:t>dobré</w:t>
      </w:r>
      <w:r w:rsidR="00475B47">
        <w:t xml:space="preserve"> úrovni a</w:t>
      </w:r>
      <w:r>
        <w:t xml:space="preserve"> představuje solidní analýzu </w:t>
      </w:r>
      <w:r w:rsidR="00F436A1">
        <w:t>jednoho z aspektů debaty o svobodné vůli</w:t>
      </w:r>
      <w:r>
        <w:t xml:space="preserve">. </w:t>
      </w:r>
      <w:r w:rsidR="005B399C">
        <w:t>Má jak kompilační</w:t>
      </w:r>
      <w:r w:rsidR="00475B47">
        <w:t xml:space="preserve"> a přehledový charakter</w:t>
      </w:r>
      <w:r w:rsidR="005B399C">
        <w:t xml:space="preserve">, tak se vyznačuje i kritickou analýzou a vlastním názorem. </w:t>
      </w:r>
      <w:r w:rsidR="00FB6ACB">
        <w:t xml:space="preserve"> </w:t>
      </w:r>
      <w:r w:rsidR="005B399C">
        <w:t>Bezesporu je třeba oc</w:t>
      </w:r>
      <w:r w:rsidR="004A6325">
        <w:t>enit samostatnost autorova uvažování a jeho</w:t>
      </w:r>
      <w:r w:rsidR="005B399C">
        <w:t xml:space="preserve"> hluboký zájem o danou problematiku, výsledky jejíhož průběžného zpracování jsme často diskutovali.</w:t>
      </w:r>
    </w:p>
    <w:p w:rsidR="003012B1" w:rsidRDefault="003012B1" w:rsidP="00C36A2A">
      <w:pPr>
        <w:ind w:firstLine="284"/>
        <w:jc w:val="both"/>
      </w:pPr>
    </w:p>
    <w:p w:rsidR="003012B1" w:rsidRDefault="005B399C" w:rsidP="00C36A2A">
      <w:pPr>
        <w:jc w:val="both"/>
      </w:pPr>
      <w:r>
        <w:t xml:space="preserve">Oceňuji též rozsah a kvalitu zpracovaných zdrojů. </w:t>
      </w:r>
      <w:r w:rsidR="005031C8">
        <w:t>Práce splňuje požadavky kladené na bakalářskou práci.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tabs>
          <w:tab w:val="left" w:pos="676"/>
        </w:tabs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Pr="00F91643" w:rsidRDefault="00F91643" w:rsidP="00C36A2A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C36A2A">
      <w:pPr>
        <w:ind w:firstLine="284"/>
        <w:jc w:val="both"/>
      </w:pPr>
    </w:p>
    <w:p w:rsidR="003012B1" w:rsidRDefault="005B399C" w:rsidP="00C36A2A">
      <w:pPr>
        <w:ind w:firstLine="284"/>
        <w:jc w:val="both"/>
      </w:pPr>
      <w:r>
        <w:t>Výborně.</w:t>
      </w: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ind w:firstLine="284"/>
        <w:jc w:val="both"/>
      </w:pPr>
    </w:p>
    <w:p w:rsidR="003012B1" w:rsidRDefault="003012B1" w:rsidP="00C36A2A">
      <w:pPr>
        <w:jc w:val="both"/>
      </w:pPr>
      <w:r>
        <w:t xml:space="preserve">Datum: </w:t>
      </w:r>
      <w:r w:rsidR="000004AB">
        <w:tab/>
      </w:r>
      <w:r>
        <w:tab/>
      </w:r>
      <w:r w:rsidR="004A6325">
        <w:t>10. 6</w:t>
      </w:r>
      <w:bookmarkStart w:id="0" w:name="_GoBack"/>
      <w:bookmarkEnd w:id="0"/>
      <w:r w:rsidR="005B399C">
        <w:t>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 w:rsidP="00C36A2A">
      <w:pPr>
        <w:jc w:val="both"/>
      </w:pPr>
    </w:p>
    <w:p w:rsidR="003012B1" w:rsidRDefault="003012B1" w:rsidP="00C36A2A">
      <w:pPr>
        <w:jc w:val="both"/>
      </w:pPr>
    </w:p>
    <w:p w:rsidR="003012B1" w:rsidRDefault="003012B1" w:rsidP="00C36A2A">
      <w:pPr>
        <w:jc w:val="both"/>
      </w:pPr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0B2CC7"/>
    <w:rsid w:val="000B599E"/>
    <w:rsid w:val="00156571"/>
    <w:rsid w:val="00157672"/>
    <w:rsid w:val="001A7EBB"/>
    <w:rsid w:val="003012B1"/>
    <w:rsid w:val="00315FE2"/>
    <w:rsid w:val="00322AE7"/>
    <w:rsid w:val="00365F38"/>
    <w:rsid w:val="003C5B6A"/>
    <w:rsid w:val="00440D7D"/>
    <w:rsid w:val="00455C8B"/>
    <w:rsid w:val="00465CC9"/>
    <w:rsid w:val="00475B47"/>
    <w:rsid w:val="004A6325"/>
    <w:rsid w:val="005031C8"/>
    <w:rsid w:val="005053D5"/>
    <w:rsid w:val="005466F9"/>
    <w:rsid w:val="00557D55"/>
    <w:rsid w:val="005B399C"/>
    <w:rsid w:val="005D17A3"/>
    <w:rsid w:val="00651773"/>
    <w:rsid w:val="006643FB"/>
    <w:rsid w:val="00680866"/>
    <w:rsid w:val="0069122B"/>
    <w:rsid w:val="006A5210"/>
    <w:rsid w:val="007626D3"/>
    <w:rsid w:val="00837990"/>
    <w:rsid w:val="008D1F7E"/>
    <w:rsid w:val="008E46A2"/>
    <w:rsid w:val="009241B9"/>
    <w:rsid w:val="0092530E"/>
    <w:rsid w:val="00927E2D"/>
    <w:rsid w:val="00947A7A"/>
    <w:rsid w:val="00994763"/>
    <w:rsid w:val="009A7914"/>
    <w:rsid w:val="00AA3A24"/>
    <w:rsid w:val="00B6534C"/>
    <w:rsid w:val="00BF0495"/>
    <w:rsid w:val="00C1220A"/>
    <w:rsid w:val="00C36A2A"/>
    <w:rsid w:val="00CF32C2"/>
    <w:rsid w:val="00D32CE9"/>
    <w:rsid w:val="00DF05E3"/>
    <w:rsid w:val="00E01608"/>
    <w:rsid w:val="00E07316"/>
    <w:rsid w:val="00E5207E"/>
    <w:rsid w:val="00E56991"/>
    <w:rsid w:val="00E65C55"/>
    <w:rsid w:val="00EB3C97"/>
    <w:rsid w:val="00F01199"/>
    <w:rsid w:val="00F12244"/>
    <w:rsid w:val="00F436A1"/>
    <w:rsid w:val="00F464EF"/>
    <w:rsid w:val="00F91643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2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B5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599E"/>
    <w:pPr>
      <w:overflowPunct w:val="0"/>
      <w:adjustRightInd w:val="0"/>
      <w:spacing w:after="240"/>
      <w:ind w:firstLine="709"/>
      <w:jc w:val="both"/>
      <w:textAlignment w:val="baseline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599E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2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B5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599E"/>
    <w:pPr>
      <w:overflowPunct w:val="0"/>
      <w:adjustRightInd w:val="0"/>
      <w:spacing w:after="240"/>
      <w:ind w:firstLine="709"/>
      <w:jc w:val="both"/>
      <w:textAlignment w:val="baseline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599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Michal</cp:lastModifiedBy>
  <cp:revision>13</cp:revision>
  <cp:lastPrinted>2003-05-23T06:09:00Z</cp:lastPrinted>
  <dcterms:created xsi:type="dcterms:W3CDTF">2017-05-15T14:57:00Z</dcterms:created>
  <dcterms:modified xsi:type="dcterms:W3CDTF">2020-06-13T07:50:00Z</dcterms:modified>
</cp:coreProperties>
</file>