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4F" w:rsidRPr="008B76D4" w:rsidRDefault="005F2E4F" w:rsidP="005F2E4F">
      <w:pPr>
        <w:spacing w:line="240" w:lineRule="auto"/>
        <w:jc w:val="center"/>
        <w:rPr>
          <w:rFonts w:ascii="Garamond" w:hAnsi="Garamond"/>
          <w:b/>
          <w:sz w:val="28"/>
          <w:szCs w:val="28"/>
        </w:rPr>
      </w:pPr>
      <w:r w:rsidRPr="008B76D4">
        <w:rPr>
          <w:rFonts w:ascii="Garamond" w:hAnsi="Garamond"/>
          <w:b/>
          <w:sz w:val="28"/>
          <w:szCs w:val="28"/>
        </w:rPr>
        <w:t>ZÁPADOČESKÁ UNIVERZITA V PLZNI</w:t>
      </w:r>
    </w:p>
    <w:p w:rsidR="005F2E4F" w:rsidRPr="008B76D4" w:rsidRDefault="005F2E4F" w:rsidP="005F2E4F">
      <w:pPr>
        <w:spacing w:line="240" w:lineRule="auto"/>
        <w:jc w:val="center"/>
        <w:rPr>
          <w:rFonts w:ascii="Garamond" w:hAnsi="Garamond"/>
          <w:b/>
          <w:sz w:val="28"/>
          <w:szCs w:val="28"/>
        </w:rPr>
      </w:pPr>
      <w:r w:rsidRPr="008B76D4">
        <w:rPr>
          <w:rFonts w:ascii="Garamond" w:hAnsi="Garamond"/>
          <w:b/>
          <w:sz w:val="28"/>
          <w:szCs w:val="28"/>
        </w:rPr>
        <w:t>Fakulta právnická</w:t>
      </w:r>
    </w:p>
    <w:p w:rsidR="005F2E4F" w:rsidRPr="008B76D4" w:rsidRDefault="005F2E4F" w:rsidP="005F2E4F">
      <w:pPr>
        <w:pBdr>
          <w:bottom w:val="single" w:sz="4" w:space="1" w:color="000000"/>
        </w:pBdr>
        <w:spacing w:line="240" w:lineRule="auto"/>
        <w:jc w:val="center"/>
        <w:rPr>
          <w:rFonts w:ascii="Garamond" w:hAnsi="Garamond"/>
          <w:b/>
          <w:sz w:val="28"/>
          <w:szCs w:val="28"/>
        </w:rPr>
      </w:pPr>
      <w:r w:rsidRPr="008B76D4">
        <w:rPr>
          <w:rFonts w:ascii="Garamond" w:hAnsi="Garamond"/>
          <w:b/>
          <w:sz w:val="28"/>
          <w:szCs w:val="28"/>
        </w:rPr>
        <w:t>Katedra správního práva</w:t>
      </w:r>
    </w:p>
    <w:p w:rsidR="005F2E4F" w:rsidRPr="00022148" w:rsidRDefault="005F2E4F" w:rsidP="005F2E4F">
      <w:pPr>
        <w:spacing w:line="240" w:lineRule="auto"/>
        <w:jc w:val="center"/>
        <w:rPr>
          <w:rFonts w:ascii="Garamond" w:hAnsi="Garamond"/>
          <w:b/>
          <w:sz w:val="25"/>
          <w:szCs w:val="25"/>
        </w:rPr>
      </w:pPr>
      <w:r>
        <w:rPr>
          <w:rFonts w:ascii="Garamond" w:hAnsi="Garamond"/>
          <w:b/>
          <w:sz w:val="25"/>
          <w:szCs w:val="25"/>
        </w:rPr>
        <w:t>Posudek oponenta</w:t>
      </w:r>
      <w:r w:rsidRPr="00022148">
        <w:rPr>
          <w:rFonts w:ascii="Garamond" w:hAnsi="Garamond"/>
          <w:b/>
          <w:sz w:val="25"/>
          <w:szCs w:val="25"/>
        </w:rPr>
        <w:t xml:space="preserve"> diplomové práce</w:t>
      </w:r>
    </w:p>
    <w:p w:rsidR="005F2E4F" w:rsidRPr="00022148" w:rsidRDefault="0072312C" w:rsidP="005F2E4F">
      <w:pPr>
        <w:spacing w:line="240" w:lineRule="auto"/>
        <w:ind w:left="2124" w:hanging="2124"/>
        <w:jc w:val="both"/>
        <w:rPr>
          <w:rFonts w:ascii="Garamond" w:hAnsi="Garamond"/>
          <w:b/>
          <w:sz w:val="25"/>
          <w:szCs w:val="25"/>
        </w:rPr>
      </w:pPr>
      <w:r>
        <w:rPr>
          <w:rFonts w:ascii="Garamond" w:hAnsi="Garamond"/>
          <w:b/>
          <w:sz w:val="25"/>
          <w:szCs w:val="25"/>
        </w:rPr>
        <w:t>Název práce:</w:t>
      </w:r>
      <w:r>
        <w:rPr>
          <w:rFonts w:ascii="Garamond" w:hAnsi="Garamond"/>
          <w:b/>
          <w:sz w:val="25"/>
          <w:szCs w:val="25"/>
        </w:rPr>
        <w:tab/>
        <w:t>Vkladové řízení do katastru nemovitostí</w:t>
      </w:r>
    </w:p>
    <w:p w:rsidR="005F2E4F" w:rsidRPr="00022148" w:rsidRDefault="005F2E4F" w:rsidP="005F2E4F">
      <w:pPr>
        <w:spacing w:line="240" w:lineRule="auto"/>
        <w:jc w:val="both"/>
        <w:rPr>
          <w:rFonts w:ascii="Garamond" w:hAnsi="Garamond"/>
          <w:b/>
          <w:sz w:val="25"/>
          <w:szCs w:val="25"/>
        </w:rPr>
      </w:pPr>
      <w:r w:rsidRPr="00022148">
        <w:rPr>
          <w:rFonts w:ascii="Garamond" w:hAnsi="Garamond"/>
          <w:b/>
          <w:sz w:val="25"/>
          <w:szCs w:val="25"/>
        </w:rPr>
        <w:t>Autor:</w:t>
      </w:r>
      <w:r w:rsidRPr="00022148">
        <w:rPr>
          <w:rFonts w:ascii="Garamond" w:hAnsi="Garamond"/>
          <w:b/>
          <w:sz w:val="25"/>
          <w:szCs w:val="25"/>
        </w:rPr>
        <w:tab/>
      </w:r>
      <w:r w:rsidRPr="00022148">
        <w:rPr>
          <w:rFonts w:ascii="Garamond" w:hAnsi="Garamond"/>
          <w:b/>
          <w:sz w:val="25"/>
          <w:szCs w:val="25"/>
        </w:rPr>
        <w:tab/>
      </w:r>
      <w:r w:rsidRPr="00022148">
        <w:rPr>
          <w:rFonts w:ascii="Garamond" w:hAnsi="Garamond"/>
          <w:b/>
          <w:sz w:val="25"/>
          <w:szCs w:val="25"/>
        </w:rPr>
        <w:tab/>
      </w:r>
      <w:r w:rsidR="0072312C">
        <w:rPr>
          <w:rFonts w:ascii="Garamond" w:hAnsi="Garamond"/>
          <w:b/>
          <w:sz w:val="25"/>
          <w:szCs w:val="25"/>
        </w:rPr>
        <w:t>Kateřina Havlíková</w:t>
      </w:r>
    </w:p>
    <w:p w:rsidR="005F2E4F" w:rsidRPr="00022148" w:rsidRDefault="005F2E4F" w:rsidP="005F2E4F">
      <w:pPr>
        <w:pBdr>
          <w:bottom w:val="single" w:sz="4" w:space="1" w:color="000000"/>
        </w:pBdr>
        <w:spacing w:line="240" w:lineRule="auto"/>
        <w:jc w:val="both"/>
        <w:rPr>
          <w:rFonts w:ascii="Garamond" w:hAnsi="Garamond"/>
          <w:b/>
          <w:sz w:val="25"/>
          <w:szCs w:val="25"/>
        </w:rPr>
      </w:pPr>
      <w:r w:rsidRPr="00022148">
        <w:rPr>
          <w:rFonts w:ascii="Garamond" w:hAnsi="Garamond"/>
          <w:b/>
          <w:sz w:val="25"/>
          <w:szCs w:val="25"/>
        </w:rPr>
        <w:t>Autor posudku:</w:t>
      </w:r>
      <w:r w:rsidRPr="00022148">
        <w:rPr>
          <w:rFonts w:ascii="Garamond" w:hAnsi="Garamond"/>
          <w:b/>
          <w:sz w:val="25"/>
          <w:szCs w:val="25"/>
        </w:rPr>
        <w:tab/>
        <w:t>JUDr. Milan Podhrázký, Ph.D.</w:t>
      </w:r>
    </w:p>
    <w:p w:rsidR="00A0495A" w:rsidRDefault="00A0495A" w:rsidP="005F2E4F">
      <w:pPr>
        <w:spacing w:line="240" w:lineRule="auto"/>
        <w:jc w:val="both"/>
        <w:rPr>
          <w:rFonts w:ascii="Garamond" w:hAnsi="Garamond"/>
          <w:b/>
          <w:sz w:val="24"/>
          <w:szCs w:val="24"/>
        </w:rPr>
      </w:pPr>
    </w:p>
    <w:p w:rsidR="005F2E4F" w:rsidRPr="001C27F9" w:rsidRDefault="005F2E4F" w:rsidP="005F2E4F">
      <w:pPr>
        <w:spacing w:line="240" w:lineRule="auto"/>
        <w:jc w:val="both"/>
        <w:rPr>
          <w:rFonts w:ascii="Garamond" w:hAnsi="Garamond"/>
          <w:b/>
          <w:sz w:val="25"/>
          <w:szCs w:val="25"/>
        </w:rPr>
      </w:pPr>
      <w:r w:rsidRPr="0089446E">
        <w:rPr>
          <w:rFonts w:ascii="Garamond" w:hAnsi="Garamond"/>
          <w:b/>
          <w:sz w:val="24"/>
          <w:szCs w:val="24"/>
        </w:rPr>
        <w:t>1</w:t>
      </w:r>
      <w:r w:rsidRPr="001C27F9">
        <w:rPr>
          <w:rFonts w:ascii="Garamond" w:hAnsi="Garamond"/>
          <w:b/>
          <w:sz w:val="25"/>
          <w:szCs w:val="25"/>
        </w:rPr>
        <w:t>. Zadání a cíl práce:</w:t>
      </w:r>
    </w:p>
    <w:p w:rsidR="005F2E4F" w:rsidRPr="001C27F9" w:rsidRDefault="0012718A" w:rsidP="005F2E4F">
      <w:pPr>
        <w:spacing w:line="240" w:lineRule="auto"/>
        <w:ind w:firstLine="540"/>
        <w:jc w:val="both"/>
        <w:rPr>
          <w:rFonts w:ascii="Garamond" w:hAnsi="Garamond"/>
          <w:sz w:val="25"/>
          <w:szCs w:val="25"/>
        </w:rPr>
      </w:pPr>
      <w:r w:rsidRPr="001C27F9">
        <w:rPr>
          <w:rFonts w:ascii="Garamond" w:hAnsi="Garamond"/>
          <w:sz w:val="25"/>
          <w:szCs w:val="25"/>
        </w:rPr>
        <w:t>Ot</w:t>
      </w:r>
      <w:r w:rsidR="00FD6E9A">
        <w:rPr>
          <w:rFonts w:ascii="Garamond" w:hAnsi="Garamond"/>
          <w:sz w:val="25"/>
          <w:szCs w:val="25"/>
        </w:rPr>
        <w:t xml:space="preserve">ázky </w:t>
      </w:r>
      <w:proofErr w:type="gramStart"/>
      <w:r w:rsidR="00FD6E9A">
        <w:rPr>
          <w:rFonts w:ascii="Garamond" w:hAnsi="Garamond"/>
          <w:sz w:val="25"/>
          <w:szCs w:val="25"/>
        </w:rPr>
        <w:t xml:space="preserve">související </w:t>
      </w:r>
      <w:r w:rsidR="001423BA" w:rsidRPr="001C27F9">
        <w:rPr>
          <w:rFonts w:ascii="Garamond" w:hAnsi="Garamond"/>
          <w:sz w:val="25"/>
          <w:szCs w:val="25"/>
        </w:rPr>
        <w:t>s </w:t>
      </w:r>
      <w:r w:rsidR="0072312C" w:rsidRPr="001C27F9">
        <w:rPr>
          <w:rFonts w:ascii="Garamond" w:hAnsi="Garamond"/>
          <w:sz w:val="25"/>
          <w:szCs w:val="25"/>
        </w:rPr>
        <w:t>vklad</w:t>
      </w:r>
      <w:r w:rsidRPr="001C27F9">
        <w:rPr>
          <w:rFonts w:ascii="Garamond" w:hAnsi="Garamond"/>
          <w:sz w:val="25"/>
          <w:szCs w:val="25"/>
        </w:rPr>
        <w:t>ovým</w:t>
      </w:r>
      <w:proofErr w:type="gramEnd"/>
      <w:r w:rsidR="001423BA" w:rsidRPr="001C27F9">
        <w:rPr>
          <w:rFonts w:ascii="Garamond" w:hAnsi="Garamond"/>
          <w:sz w:val="25"/>
          <w:szCs w:val="25"/>
        </w:rPr>
        <w:t xml:space="preserve"> </w:t>
      </w:r>
      <w:r w:rsidRPr="001C27F9">
        <w:rPr>
          <w:rFonts w:ascii="Garamond" w:hAnsi="Garamond"/>
          <w:sz w:val="25"/>
          <w:szCs w:val="25"/>
        </w:rPr>
        <w:t>řízením</w:t>
      </w:r>
      <w:r w:rsidR="0072312C" w:rsidRPr="001C27F9">
        <w:rPr>
          <w:rFonts w:ascii="Garamond" w:hAnsi="Garamond"/>
          <w:sz w:val="25"/>
          <w:szCs w:val="25"/>
        </w:rPr>
        <w:t xml:space="preserve"> do katastru nemovit</w:t>
      </w:r>
      <w:r w:rsidRPr="001C27F9">
        <w:rPr>
          <w:rFonts w:ascii="Garamond" w:hAnsi="Garamond"/>
          <w:sz w:val="25"/>
          <w:szCs w:val="25"/>
        </w:rPr>
        <w:t>ostí představují nepochybně důležitou</w:t>
      </w:r>
      <w:r w:rsidR="0072312C" w:rsidRPr="001C27F9">
        <w:rPr>
          <w:rFonts w:ascii="Garamond" w:hAnsi="Garamond"/>
          <w:sz w:val="25"/>
          <w:szCs w:val="25"/>
        </w:rPr>
        <w:t xml:space="preserve"> součást zájmu právní vědy i pra</w:t>
      </w:r>
      <w:r w:rsidRPr="001C27F9">
        <w:rPr>
          <w:rFonts w:ascii="Garamond" w:hAnsi="Garamond"/>
          <w:sz w:val="25"/>
          <w:szCs w:val="25"/>
        </w:rPr>
        <w:t>xe. J</w:t>
      </w:r>
      <w:r w:rsidR="009D6842" w:rsidRPr="001C27F9">
        <w:rPr>
          <w:rFonts w:ascii="Garamond" w:hAnsi="Garamond"/>
          <w:sz w:val="25"/>
          <w:szCs w:val="25"/>
        </w:rPr>
        <w:t>edná se navíc o problematiku, v rámci jejíhož popisu si obvykle nel</w:t>
      </w:r>
      <w:r w:rsidR="0072312C" w:rsidRPr="001C27F9">
        <w:rPr>
          <w:rFonts w:ascii="Garamond" w:hAnsi="Garamond"/>
          <w:sz w:val="25"/>
          <w:szCs w:val="25"/>
        </w:rPr>
        <w:t>z</w:t>
      </w:r>
      <w:r w:rsidR="009D6842" w:rsidRPr="001C27F9">
        <w:rPr>
          <w:rFonts w:ascii="Garamond" w:hAnsi="Garamond"/>
          <w:sz w:val="25"/>
          <w:szCs w:val="25"/>
        </w:rPr>
        <w:t>e vystačit s „klasickým“ č</w:t>
      </w:r>
      <w:r w:rsidR="0072312C" w:rsidRPr="001C27F9">
        <w:rPr>
          <w:rFonts w:ascii="Garamond" w:hAnsi="Garamond"/>
          <w:sz w:val="25"/>
          <w:szCs w:val="25"/>
        </w:rPr>
        <w:t>l</w:t>
      </w:r>
      <w:r w:rsidR="009D6842" w:rsidRPr="001C27F9">
        <w:rPr>
          <w:rFonts w:ascii="Garamond" w:hAnsi="Garamond"/>
          <w:sz w:val="25"/>
          <w:szCs w:val="25"/>
        </w:rPr>
        <w:t>e</w:t>
      </w:r>
      <w:r w:rsidR="0072312C" w:rsidRPr="001C27F9">
        <w:rPr>
          <w:rFonts w:ascii="Garamond" w:hAnsi="Garamond"/>
          <w:sz w:val="25"/>
          <w:szCs w:val="25"/>
        </w:rPr>
        <w:t>něním na</w:t>
      </w:r>
      <w:r w:rsidR="009D6842" w:rsidRPr="001C27F9">
        <w:rPr>
          <w:rFonts w:ascii="Garamond" w:hAnsi="Garamond"/>
          <w:sz w:val="25"/>
          <w:szCs w:val="25"/>
        </w:rPr>
        <w:t xml:space="preserve"> právní odvětví či setrvávat na oddělení</w:t>
      </w:r>
      <w:r w:rsidR="0072312C" w:rsidRPr="001C27F9">
        <w:rPr>
          <w:rFonts w:ascii="Garamond" w:hAnsi="Garamond"/>
          <w:sz w:val="25"/>
          <w:szCs w:val="25"/>
        </w:rPr>
        <w:t xml:space="preserve"> práva soukromého</w:t>
      </w:r>
      <w:r w:rsidR="009D6842" w:rsidRPr="001C27F9">
        <w:rPr>
          <w:rFonts w:ascii="Garamond" w:hAnsi="Garamond"/>
          <w:sz w:val="25"/>
          <w:szCs w:val="25"/>
        </w:rPr>
        <w:t xml:space="preserve"> a veřejného. Svůj nezpochybnitelný význam totiž má hned pro celou řadu právních odvětví a její přesahy jsou soukromoprávní i veřejnoprávní. Přes výše uvedené (nebo možná právě proto) se však daná problematika netěší nikterak intenzivnímu zájmu odborné literatury. Tím spíše je však nutno volbu tématu ze strany autorky posuzované práce ocenit. Byť by autorka cíle dané práce v </w:t>
      </w:r>
      <w:r w:rsidR="00A755D1" w:rsidRPr="001C27F9">
        <w:rPr>
          <w:rFonts w:ascii="Garamond" w:hAnsi="Garamond"/>
          <w:sz w:val="25"/>
          <w:szCs w:val="25"/>
        </w:rPr>
        <w:t>jejím úvodu nepochybně mohla po</w:t>
      </w:r>
      <w:r w:rsidR="009D6842" w:rsidRPr="001C27F9">
        <w:rPr>
          <w:rFonts w:ascii="Garamond" w:hAnsi="Garamond"/>
          <w:sz w:val="25"/>
          <w:szCs w:val="25"/>
        </w:rPr>
        <w:t>p</w:t>
      </w:r>
      <w:r w:rsidR="00A755D1" w:rsidRPr="001C27F9">
        <w:rPr>
          <w:rFonts w:ascii="Garamond" w:hAnsi="Garamond"/>
          <w:sz w:val="25"/>
          <w:szCs w:val="25"/>
        </w:rPr>
        <w:t>s</w:t>
      </w:r>
      <w:r w:rsidR="009D6842" w:rsidRPr="001C27F9">
        <w:rPr>
          <w:rFonts w:ascii="Garamond" w:hAnsi="Garamond"/>
          <w:sz w:val="25"/>
          <w:szCs w:val="25"/>
        </w:rPr>
        <w:t>at obšírněji (a nesetrvat pouze u stručného nástinu, o čem budou jednotlivé části práce), je</w:t>
      </w:r>
      <w:r w:rsidR="005F2E4F" w:rsidRPr="001C27F9">
        <w:rPr>
          <w:rFonts w:ascii="Garamond" w:hAnsi="Garamond"/>
          <w:sz w:val="25"/>
          <w:szCs w:val="25"/>
        </w:rPr>
        <w:t xml:space="preserve"> třeba konsta</w:t>
      </w:r>
      <w:r w:rsidR="009D6842" w:rsidRPr="001C27F9">
        <w:rPr>
          <w:rFonts w:ascii="Garamond" w:hAnsi="Garamond"/>
          <w:sz w:val="25"/>
          <w:szCs w:val="25"/>
        </w:rPr>
        <w:t>tovat, že volba tématu i autorkou</w:t>
      </w:r>
      <w:r w:rsidR="005F2E4F" w:rsidRPr="001C27F9">
        <w:rPr>
          <w:rFonts w:ascii="Garamond" w:hAnsi="Garamond"/>
          <w:sz w:val="25"/>
          <w:szCs w:val="25"/>
        </w:rPr>
        <w:t xml:space="preserve"> nastíněné cíle práce nepochybně požadavky kladené na diplomovou práci splňují.</w:t>
      </w:r>
    </w:p>
    <w:p w:rsidR="005F2E4F" w:rsidRPr="001C27F9" w:rsidRDefault="005F2E4F" w:rsidP="005F2E4F">
      <w:pPr>
        <w:spacing w:line="240" w:lineRule="auto"/>
        <w:jc w:val="both"/>
        <w:rPr>
          <w:rFonts w:ascii="Garamond" w:hAnsi="Garamond"/>
          <w:b/>
          <w:sz w:val="25"/>
          <w:szCs w:val="25"/>
        </w:rPr>
      </w:pPr>
      <w:r w:rsidRPr="001C27F9">
        <w:rPr>
          <w:rFonts w:ascii="Garamond" w:hAnsi="Garamond"/>
          <w:b/>
          <w:sz w:val="25"/>
          <w:szCs w:val="25"/>
        </w:rPr>
        <w:t xml:space="preserve">2. Obsahové zpracování práce </w:t>
      </w:r>
      <w:r w:rsidRPr="001C27F9">
        <w:rPr>
          <w:rFonts w:ascii="Garamond" w:hAnsi="Garamond"/>
          <w:sz w:val="25"/>
          <w:szCs w:val="25"/>
        </w:rPr>
        <w:t>(včetně struktury, proporcionality a práce s právní úpravou, odbornou literaturou a judikaturou)</w:t>
      </w:r>
      <w:r w:rsidRPr="001C27F9">
        <w:rPr>
          <w:rFonts w:ascii="Garamond" w:hAnsi="Garamond"/>
          <w:b/>
          <w:sz w:val="25"/>
          <w:szCs w:val="25"/>
        </w:rPr>
        <w:t>:</w:t>
      </w:r>
    </w:p>
    <w:p w:rsidR="005F2E4F" w:rsidRPr="001C27F9" w:rsidRDefault="005F2E4F" w:rsidP="001423BA">
      <w:pPr>
        <w:spacing w:line="240" w:lineRule="auto"/>
        <w:ind w:firstLine="540"/>
        <w:jc w:val="both"/>
        <w:rPr>
          <w:rFonts w:ascii="Garamond" w:hAnsi="Garamond"/>
          <w:sz w:val="25"/>
          <w:szCs w:val="25"/>
        </w:rPr>
      </w:pPr>
      <w:r w:rsidRPr="001C27F9">
        <w:rPr>
          <w:rFonts w:ascii="Garamond" w:hAnsi="Garamond"/>
          <w:sz w:val="25"/>
          <w:szCs w:val="25"/>
        </w:rPr>
        <w:t xml:space="preserve">Posuzovaná diplomová práce </w:t>
      </w:r>
      <w:r w:rsidR="00F72C01" w:rsidRPr="001C27F9">
        <w:rPr>
          <w:rFonts w:ascii="Garamond" w:hAnsi="Garamond"/>
          <w:sz w:val="25"/>
          <w:szCs w:val="25"/>
        </w:rPr>
        <w:t xml:space="preserve">(která má z hlediska svého rozsahu více než 100 normostran) </w:t>
      </w:r>
      <w:r w:rsidRPr="001C27F9">
        <w:rPr>
          <w:rFonts w:ascii="Garamond" w:hAnsi="Garamond"/>
          <w:sz w:val="25"/>
          <w:szCs w:val="25"/>
        </w:rPr>
        <w:t>se vedle svého úvodu, závěru, cizojazyčného resumé a sez</w:t>
      </w:r>
      <w:r w:rsidR="00F72C01" w:rsidRPr="001C27F9">
        <w:rPr>
          <w:rFonts w:ascii="Garamond" w:hAnsi="Garamond"/>
          <w:sz w:val="25"/>
          <w:szCs w:val="25"/>
        </w:rPr>
        <w:t>namu použitých zdrojů člení na 4 samostatné</w:t>
      </w:r>
      <w:r w:rsidR="00A755D1" w:rsidRPr="001C27F9">
        <w:rPr>
          <w:rFonts w:ascii="Garamond" w:hAnsi="Garamond"/>
          <w:sz w:val="25"/>
          <w:szCs w:val="25"/>
        </w:rPr>
        <w:t xml:space="preserve"> hlavní</w:t>
      </w:r>
      <w:r w:rsidRPr="001C27F9">
        <w:rPr>
          <w:rFonts w:ascii="Garamond" w:hAnsi="Garamond"/>
          <w:sz w:val="25"/>
          <w:szCs w:val="25"/>
        </w:rPr>
        <w:t xml:space="preserve"> části. Autor</w:t>
      </w:r>
      <w:r w:rsidR="00F72C01" w:rsidRPr="001C27F9">
        <w:rPr>
          <w:rFonts w:ascii="Garamond" w:hAnsi="Garamond"/>
          <w:sz w:val="25"/>
          <w:szCs w:val="25"/>
        </w:rPr>
        <w:t>ka</w:t>
      </w:r>
      <w:r w:rsidRPr="001C27F9">
        <w:rPr>
          <w:rFonts w:ascii="Garamond" w:hAnsi="Garamond"/>
          <w:sz w:val="25"/>
          <w:szCs w:val="25"/>
        </w:rPr>
        <w:t xml:space="preserve"> se nejprve věnuje </w:t>
      </w:r>
      <w:r w:rsidRPr="001C27F9">
        <w:rPr>
          <w:rFonts w:ascii="Garamond" w:hAnsi="Garamond"/>
          <w:i/>
          <w:sz w:val="25"/>
          <w:szCs w:val="25"/>
        </w:rPr>
        <w:t>„</w:t>
      </w:r>
      <w:r w:rsidR="00F72C01" w:rsidRPr="001C27F9">
        <w:rPr>
          <w:rFonts w:ascii="Garamond" w:hAnsi="Garamond"/>
          <w:i/>
          <w:sz w:val="25"/>
          <w:szCs w:val="25"/>
        </w:rPr>
        <w:t>Pojmu katastru nemovitostí a jeho právní úpravě“</w:t>
      </w:r>
      <w:r w:rsidR="00F72C01" w:rsidRPr="001C27F9">
        <w:rPr>
          <w:rFonts w:ascii="Garamond" w:hAnsi="Garamond"/>
          <w:sz w:val="25"/>
          <w:szCs w:val="25"/>
        </w:rPr>
        <w:t xml:space="preserve"> (část 1., str. 1-23) a </w:t>
      </w:r>
      <w:r w:rsidR="00F72C01" w:rsidRPr="001C27F9">
        <w:rPr>
          <w:rFonts w:ascii="Garamond" w:hAnsi="Garamond"/>
          <w:i/>
          <w:sz w:val="25"/>
          <w:szCs w:val="25"/>
        </w:rPr>
        <w:t>„Základním zásadám vedení katastru nemovitostí“</w:t>
      </w:r>
      <w:r w:rsidR="00F72C01" w:rsidRPr="001C27F9">
        <w:rPr>
          <w:rFonts w:ascii="Garamond" w:hAnsi="Garamond"/>
          <w:sz w:val="25"/>
          <w:szCs w:val="25"/>
        </w:rPr>
        <w:t xml:space="preserve"> (část 2.</w:t>
      </w:r>
      <w:r w:rsidR="001423BA" w:rsidRPr="001C27F9">
        <w:rPr>
          <w:rFonts w:ascii="Garamond" w:hAnsi="Garamond"/>
          <w:sz w:val="25"/>
          <w:szCs w:val="25"/>
        </w:rPr>
        <w:t xml:space="preserve">, str. 24-35). Stěžejní část práce je poté zaměřena na samotné </w:t>
      </w:r>
      <w:r w:rsidR="001423BA" w:rsidRPr="001C27F9">
        <w:rPr>
          <w:rFonts w:ascii="Garamond" w:hAnsi="Garamond"/>
          <w:i/>
          <w:sz w:val="25"/>
          <w:szCs w:val="25"/>
        </w:rPr>
        <w:t>„Vkladové řízení“</w:t>
      </w:r>
      <w:r w:rsidR="001423BA" w:rsidRPr="001C27F9">
        <w:rPr>
          <w:rFonts w:ascii="Garamond" w:hAnsi="Garamond"/>
          <w:sz w:val="25"/>
          <w:szCs w:val="25"/>
        </w:rPr>
        <w:t xml:space="preserve"> (část 3</w:t>
      </w:r>
      <w:r w:rsidR="000B30FE">
        <w:rPr>
          <w:rFonts w:ascii="Garamond" w:hAnsi="Garamond"/>
          <w:sz w:val="25"/>
          <w:szCs w:val="25"/>
        </w:rPr>
        <w:t>.</w:t>
      </w:r>
      <w:r w:rsidR="001423BA" w:rsidRPr="001C27F9">
        <w:rPr>
          <w:rFonts w:ascii="Garamond" w:hAnsi="Garamond"/>
          <w:sz w:val="25"/>
          <w:szCs w:val="25"/>
        </w:rPr>
        <w:t xml:space="preserve">, str. </w:t>
      </w:r>
      <w:r w:rsidR="000B30FE">
        <w:rPr>
          <w:rFonts w:ascii="Garamond" w:hAnsi="Garamond"/>
          <w:sz w:val="25"/>
          <w:szCs w:val="25"/>
        </w:rPr>
        <w:t>36-</w:t>
      </w:r>
      <w:r w:rsidR="001423BA" w:rsidRPr="001C27F9">
        <w:rPr>
          <w:rFonts w:ascii="Garamond" w:hAnsi="Garamond"/>
          <w:sz w:val="25"/>
          <w:szCs w:val="25"/>
        </w:rPr>
        <w:t xml:space="preserve">84), přičemž samostatnou pozornost práce věnuje též </w:t>
      </w:r>
      <w:r w:rsidR="001423BA" w:rsidRPr="001C27F9">
        <w:rPr>
          <w:rFonts w:ascii="Garamond" w:hAnsi="Garamond"/>
          <w:i/>
          <w:sz w:val="25"/>
          <w:szCs w:val="25"/>
        </w:rPr>
        <w:t>„Zahraničnímu srovnání“</w:t>
      </w:r>
      <w:r w:rsidR="001423BA" w:rsidRPr="001C27F9">
        <w:rPr>
          <w:rFonts w:ascii="Garamond" w:hAnsi="Garamond"/>
          <w:sz w:val="25"/>
          <w:szCs w:val="25"/>
        </w:rPr>
        <w:t xml:space="preserve"> (část 4</w:t>
      </w:r>
      <w:r w:rsidR="000B30FE">
        <w:rPr>
          <w:rFonts w:ascii="Garamond" w:hAnsi="Garamond"/>
          <w:sz w:val="25"/>
          <w:szCs w:val="25"/>
        </w:rPr>
        <w:t>.</w:t>
      </w:r>
      <w:r w:rsidR="001423BA" w:rsidRPr="001C27F9">
        <w:rPr>
          <w:rFonts w:ascii="Garamond" w:hAnsi="Garamond"/>
          <w:sz w:val="25"/>
          <w:szCs w:val="25"/>
        </w:rPr>
        <w:t xml:space="preserve">, str. 85-91). </w:t>
      </w:r>
      <w:r w:rsidRPr="001C27F9">
        <w:rPr>
          <w:rFonts w:ascii="Garamond" w:hAnsi="Garamond"/>
          <w:sz w:val="25"/>
          <w:szCs w:val="25"/>
        </w:rPr>
        <w:t xml:space="preserve">Takto vymezené hlavní části práce jsou pak pro větší přehlednost dále strukturovány. </w:t>
      </w:r>
    </w:p>
    <w:p w:rsidR="005F2E4F" w:rsidRPr="001C27F9" w:rsidRDefault="005F2E4F" w:rsidP="00A755D1">
      <w:pPr>
        <w:spacing w:line="240" w:lineRule="auto"/>
        <w:ind w:firstLine="540"/>
        <w:jc w:val="both"/>
        <w:rPr>
          <w:rFonts w:ascii="Garamond" w:hAnsi="Garamond"/>
          <w:sz w:val="25"/>
          <w:szCs w:val="25"/>
        </w:rPr>
      </w:pPr>
      <w:r w:rsidRPr="001C27F9">
        <w:rPr>
          <w:rFonts w:ascii="Garamond" w:hAnsi="Garamond"/>
          <w:sz w:val="25"/>
          <w:szCs w:val="25"/>
        </w:rPr>
        <w:t>Základní stru</w:t>
      </w:r>
      <w:r w:rsidR="001423BA" w:rsidRPr="001C27F9">
        <w:rPr>
          <w:rFonts w:ascii="Garamond" w:hAnsi="Garamond"/>
          <w:sz w:val="25"/>
          <w:szCs w:val="25"/>
        </w:rPr>
        <w:t>ktura práce je</w:t>
      </w:r>
      <w:r w:rsidRPr="001C27F9">
        <w:rPr>
          <w:rFonts w:ascii="Garamond" w:hAnsi="Garamond"/>
          <w:sz w:val="25"/>
          <w:szCs w:val="25"/>
        </w:rPr>
        <w:t xml:space="preserve"> přehledná.</w:t>
      </w:r>
      <w:r w:rsidR="001423BA" w:rsidRPr="001C27F9">
        <w:rPr>
          <w:rFonts w:ascii="Garamond" w:hAnsi="Garamond"/>
          <w:sz w:val="25"/>
          <w:szCs w:val="25"/>
        </w:rPr>
        <w:t xml:space="preserve"> Pomineme-li obsahové zaměření jednotlivých částí (viz dále), není třeba ke zvolené struktuře vznášet závažnější výhrady.</w:t>
      </w:r>
      <w:r w:rsidRPr="001C27F9">
        <w:rPr>
          <w:rFonts w:ascii="Garamond" w:hAnsi="Garamond"/>
          <w:sz w:val="25"/>
          <w:szCs w:val="25"/>
        </w:rPr>
        <w:t xml:space="preserve"> Pokud </w:t>
      </w:r>
      <w:r w:rsidR="001423BA" w:rsidRPr="001C27F9">
        <w:rPr>
          <w:rFonts w:ascii="Garamond" w:hAnsi="Garamond"/>
          <w:sz w:val="25"/>
          <w:szCs w:val="25"/>
        </w:rPr>
        <w:t xml:space="preserve">však </w:t>
      </w:r>
      <w:r w:rsidRPr="001C27F9">
        <w:rPr>
          <w:rFonts w:ascii="Garamond" w:hAnsi="Garamond"/>
          <w:sz w:val="25"/>
          <w:szCs w:val="25"/>
        </w:rPr>
        <w:t>jde o proporcionalitu jednotlivých částí, z</w:t>
      </w:r>
      <w:r w:rsidR="00001CE5" w:rsidRPr="001C27F9">
        <w:rPr>
          <w:rFonts w:ascii="Garamond" w:hAnsi="Garamond"/>
          <w:sz w:val="25"/>
          <w:szCs w:val="25"/>
        </w:rPr>
        <w:t xml:space="preserve">de nelze přehlédnout, že </w:t>
      </w:r>
      <w:r w:rsidR="00A755D1" w:rsidRPr="001C27F9">
        <w:rPr>
          <w:rFonts w:ascii="Garamond" w:hAnsi="Garamond"/>
          <w:sz w:val="25"/>
          <w:szCs w:val="25"/>
        </w:rPr>
        <w:t xml:space="preserve">samotný </w:t>
      </w:r>
      <w:r w:rsidR="00001CE5" w:rsidRPr="001C27F9">
        <w:rPr>
          <w:rFonts w:ascii="Garamond" w:hAnsi="Garamond"/>
          <w:sz w:val="25"/>
          <w:szCs w:val="25"/>
        </w:rPr>
        <w:t>po</w:t>
      </w:r>
      <w:r w:rsidR="001423BA" w:rsidRPr="001C27F9">
        <w:rPr>
          <w:rFonts w:ascii="Garamond" w:hAnsi="Garamond"/>
          <w:sz w:val="25"/>
          <w:szCs w:val="25"/>
        </w:rPr>
        <w:t>pi</w:t>
      </w:r>
      <w:r w:rsidR="00001CE5" w:rsidRPr="001C27F9">
        <w:rPr>
          <w:rFonts w:ascii="Garamond" w:hAnsi="Garamond"/>
          <w:sz w:val="25"/>
          <w:szCs w:val="25"/>
        </w:rPr>
        <w:t>s</w:t>
      </w:r>
      <w:r w:rsidR="001423BA" w:rsidRPr="001C27F9">
        <w:rPr>
          <w:rFonts w:ascii="Garamond" w:hAnsi="Garamond"/>
          <w:sz w:val="25"/>
          <w:szCs w:val="25"/>
        </w:rPr>
        <w:t xml:space="preserve"> pro d</w:t>
      </w:r>
      <w:r w:rsidR="00001CE5" w:rsidRPr="001C27F9">
        <w:rPr>
          <w:rFonts w:ascii="Garamond" w:hAnsi="Garamond"/>
          <w:sz w:val="25"/>
          <w:szCs w:val="25"/>
        </w:rPr>
        <w:t>anou práci stěžejní otázky (vkladového řízení)</w:t>
      </w:r>
      <w:r w:rsidR="001423BA" w:rsidRPr="001C27F9">
        <w:rPr>
          <w:rFonts w:ascii="Garamond" w:hAnsi="Garamond"/>
          <w:sz w:val="25"/>
          <w:szCs w:val="25"/>
        </w:rPr>
        <w:t xml:space="preserve"> fakticky začíná až na str. 41. Na výše uvedené je nicméně třeba nahlížet v kontextu celkového rozsahu práce, který je pro tento druh kvalif</w:t>
      </w:r>
      <w:r w:rsidR="00001CE5" w:rsidRPr="001C27F9">
        <w:rPr>
          <w:rFonts w:ascii="Garamond" w:hAnsi="Garamond"/>
          <w:sz w:val="25"/>
          <w:szCs w:val="25"/>
        </w:rPr>
        <w:t>ikačních prací nadstandardní. Přesto</w:t>
      </w:r>
      <w:r w:rsidRPr="001C27F9">
        <w:rPr>
          <w:rFonts w:ascii="Garamond" w:hAnsi="Garamond"/>
          <w:sz w:val="25"/>
          <w:szCs w:val="25"/>
        </w:rPr>
        <w:t xml:space="preserve"> </w:t>
      </w:r>
      <w:r w:rsidR="001423BA" w:rsidRPr="001C27F9">
        <w:rPr>
          <w:rFonts w:ascii="Garamond" w:hAnsi="Garamond"/>
          <w:sz w:val="25"/>
          <w:szCs w:val="25"/>
        </w:rPr>
        <w:t xml:space="preserve">bych nicméně </w:t>
      </w:r>
      <w:r w:rsidR="00001CE5" w:rsidRPr="001C27F9">
        <w:rPr>
          <w:rFonts w:ascii="Garamond" w:hAnsi="Garamond"/>
          <w:sz w:val="25"/>
          <w:szCs w:val="25"/>
        </w:rPr>
        <w:t xml:space="preserve">považoval </w:t>
      </w:r>
      <w:r w:rsidRPr="001C27F9">
        <w:rPr>
          <w:rFonts w:ascii="Garamond" w:hAnsi="Garamond"/>
          <w:sz w:val="25"/>
          <w:szCs w:val="25"/>
        </w:rPr>
        <w:t>za vhodnější, pokud by autor</w:t>
      </w:r>
      <w:r w:rsidR="001423BA" w:rsidRPr="001C27F9">
        <w:rPr>
          <w:rFonts w:ascii="Garamond" w:hAnsi="Garamond"/>
          <w:sz w:val="25"/>
          <w:szCs w:val="25"/>
        </w:rPr>
        <w:t>ka</w:t>
      </w:r>
      <w:r w:rsidRPr="001C27F9">
        <w:rPr>
          <w:rFonts w:ascii="Garamond" w:hAnsi="Garamond"/>
          <w:sz w:val="25"/>
          <w:szCs w:val="25"/>
        </w:rPr>
        <w:t xml:space="preserve"> na místo</w:t>
      </w:r>
      <w:r w:rsidR="00001CE5" w:rsidRPr="001C27F9">
        <w:rPr>
          <w:rFonts w:ascii="Garamond" w:hAnsi="Garamond"/>
          <w:sz w:val="25"/>
          <w:szCs w:val="25"/>
        </w:rPr>
        <w:t xml:space="preserve"> některých částí z úvodních kapitol (historický vývoj, funkce katastru nemovitostí, strukturovaný popis jednotlivých zásad) zaměřila v rámci práce svoji pozornost spíše na některé otázky, které s tématem souvisí úžeji</w:t>
      </w:r>
      <w:r w:rsidR="00A755D1" w:rsidRPr="001C27F9">
        <w:rPr>
          <w:rFonts w:ascii="Garamond" w:hAnsi="Garamond"/>
          <w:sz w:val="25"/>
          <w:szCs w:val="25"/>
        </w:rPr>
        <w:t xml:space="preserve"> a především</w:t>
      </w:r>
      <w:r w:rsidR="00B03894" w:rsidRPr="001C27F9">
        <w:rPr>
          <w:rFonts w:ascii="Garamond" w:hAnsi="Garamond"/>
          <w:sz w:val="25"/>
          <w:szCs w:val="25"/>
        </w:rPr>
        <w:t xml:space="preserve"> jsou </w:t>
      </w:r>
      <w:r w:rsidR="00A755D1" w:rsidRPr="001C27F9">
        <w:rPr>
          <w:rFonts w:ascii="Garamond" w:hAnsi="Garamond"/>
          <w:sz w:val="25"/>
          <w:szCs w:val="25"/>
        </w:rPr>
        <w:t>z právního hlediska významnější. Těm</w:t>
      </w:r>
      <w:r w:rsidR="00001CE5" w:rsidRPr="001C27F9">
        <w:rPr>
          <w:rFonts w:ascii="Garamond" w:hAnsi="Garamond"/>
          <w:sz w:val="25"/>
          <w:szCs w:val="25"/>
        </w:rPr>
        <w:t xml:space="preserve"> nepochybně bylo možno věnovat více prostoru (</w:t>
      </w:r>
      <w:r w:rsidR="000B30FE">
        <w:rPr>
          <w:rFonts w:ascii="Garamond" w:hAnsi="Garamond"/>
          <w:sz w:val="25"/>
          <w:szCs w:val="25"/>
        </w:rPr>
        <w:t>především části zaměřené na</w:t>
      </w:r>
      <w:r w:rsidR="00B03894" w:rsidRPr="001C27F9">
        <w:rPr>
          <w:rFonts w:ascii="Garamond" w:hAnsi="Garamond"/>
          <w:sz w:val="25"/>
          <w:szCs w:val="25"/>
        </w:rPr>
        <w:t xml:space="preserve"> </w:t>
      </w:r>
      <w:r w:rsidR="000B30FE">
        <w:rPr>
          <w:rFonts w:ascii="Garamond" w:hAnsi="Garamond"/>
          <w:sz w:val="25"/>
          <w:szCs w:val="25"/>
        </w:rPr>
        <w:t>účastníky vkladového řízení či opravné prostředky</w:t>
      </w:r>
      <w:r w:rsidR="00A755D1" w:rsidRPr="001C27F9">
        <w:rPr>
          <w:rFonts w:ascii="Garamond" w:hAnsi="Garamond"/>
          <w:sz w:val="25"/>
          <w:szCs w:val="25"/>
        </w:rPr>
        <w:t xml:space="preserve">). </w:t>
      </w:r>
      <w:r w:rsidR="00001CE5" w:rsidRPr="001C27F9">
        <w:rPr>
          <w:rFonts w:ascii="Garamond" w:hAnsi="Garamond"/>
          <w:sz w:val="25"/>
          <w:szCs w:val="25"/>
        </w:rPr>
        <w:t xml:space="preserve">Výše uvedená výtka se ostatně týká i </w:t>
      </w:r>
      <w:r w:rsidR="00001CE5" w:rsidRPr="001C27F9">
        <w:rPr>
          <w:rFonts w:ascii="Garamond" w:hAnsi="Garamond"/>
          <w:sz w:val="25"/>
          <w:szCs w:val="25"/>
        </w:rPr>
        <w:lastRenderedPageBreak/>
        <w:t>části věnované zahraničnímu srovnávání</w:t>
      </w:r>
      <w:r w:rsidR="000B30FE">
        <w:rPr>
          <w:rFonts w:ascii="Garamond" w:hAnsi="Garamond"/>
          <w:sz w:val="25"/>
          <w:szCs w:val="25"/>
        </w:rPr>
        <w:t xml:space="preserve"> a smyslu jejího zařazení do dané práce</w:t>
      </w:r>
      <w:r w:rsidR="00001CE5" w:rsidRPr="001C27F9">
        <w:rPr>
          <w:rFonts w:ascii="Garamond" w:hAnsi="Garamond"/>
          <w:sz w:val="25"/>
          <w:szCs w:val="25"/>
        </w:rPr>
        <w:t>. Určitě nezpochybňuji skutečnost, že srovnávací část je při popisu jakéhokoliv právního institutu vítaným oživením odborného textu. V pos</w:t>
      </w:r>
      <w:r w:rsidR="00B03894" w:rsidRPr="001C27F9">
        <w:rPr>
          <w:rFonts w:ascii="Garamond" w:hAnsi="Garamond"/>
          <w:sz w:val="25"/>
          <w:szCs w:val="25"/>
        </w:rPr>
        <w:t>uzované prá</w:t>
      </w:r>
      <w:r w:rsidR="00001CE5" w:rsidRPr="001C27F9">
        <w:rPr>
          <w:rFonts w:ascii="Garamond" w:hAnsi="Garamond"/>
          <w:sz w:val="25"/>
          <w:szCs w:val="25"/>
        </w:rPr>
        <w:t>ci</w:t>
      </w:r>
      <w:r w:rsidR="00B03894" w:rsidRPr="001C27F9">
        <w:rPr>
          <w:rFonts w:ascii="Garamond" w:hAnsi="Garamond"/>
          <w:sz w:val="25"/>
          <w:szCs w:val="25"/>
        </w:rPr>
        <w:t xml:space="preserve"> se autorka zaměřila na popis srovnání s právní úpravou v Anglii a Walesu. Učinila tak ovšem, aniž by čtenáři odpovídajícím způsobem vysvětlila, proč zvolila právě tuto úpravu a především jaké závěry z tohoto srovnání jsou pro danou práci zajímavé (</w:t>
      </w:r>
      <w:r w:rsidR="001C27F9" w:rsidRPr="001C27F9">
        <w:rPr>
          <w:rFonts w:ascii="Garamond" w:hAnsi="Garamond"/>
          <w:sz w:val="25"/>
          <w:szCs w:val="25"/>
        </w:rPr>
        <w:t>vyjma stručného závěru na str. 94 není zřejmé,</w:t>
      </w:r>
      <w:r w:rsidR="00A755D1" w:rsidRPr="001C27F9">
        <w:rPr>
          <w:rFonts w:ascii="Garamond" w:hAnsi="Garamond"/>
          <w:sz w:val="25"/>
          <w:szCs w:val="25"/>
        </w:rPr>
        <w:t xml:space="preserve"> jak by v návaznosti na provedené</w:t>
      </w:r>
      <w:r w:rsidR="00B03894" w:rsidRPr="001C27F9">
        <w:rPr>
          <w:rFonts w:ascii="Garamond" w:hAnsi="Garamond"/>
          <w:sz w:val="25"/>
          <w:szCs w:val="25"/>
        </w:rPr>
        <w:t xml:space="preserve"> srovnání doporučila naši úpravu obohatit</w:t>
      </w:r>
      <w:r w:rsidR="00A755D1" w:rsidRPr="001C27F9">
        <w:rPr>
          <w:rFonts w:ascii="Garamond" w:hAnsi="Garamond"/>
          <w:sz w:val="25"/>
          <w:szCs w:val="25"/>
        </w:rPr>
        <w:t>, případně čemu bychom se měli zcela vyhnout, jsou-li vůbec některé závěry do našich podmínek přenositelné</w:t>
      </w:r>
      <w:r w:rsidR="00B03894" w:rsidRPr="001C27F9">
        <w:rPr>
          <w:rFonts w:ascii="Garamond" w:hAnsi="Garamond"/>
          <w:sz w:val="25"/>
          <w:szCs w:val="25"/>
        </w:rPr>
        <w:t>).</w:t>
      </w:r>
    </w:p>
    <w:p w:rsidR="005F2E4F" w:rsidRPr="001C27F9" w:rsidRDefault="005F2E4F" w:rsidP="005F2E4F">
      <w:pPr>
        <w:spacing w:line="240" w:lineRule="auto"/>
        <w:ind w:firstLine="540"/>
        <w:jc w:val="both"/>
        <w:rPr>
          <w:rFonts w:ascii="Garamond" w:hAnsi="Garamond"/>
          <w:sz w:val="25"/>
          <w:szCs w:val="25"/>
        </w:rPr>
      </w:pPr>
      <w:bookmarkStart w:id="0" w:name="_GoBack"/>
      <w:r w:rsidRPr="001C27F9">
        <w:rPr>
          <w:rFonts w:ascii="Garamond" w:hAnsi="Garamond"/>
          <w:sz w:val="25"/>
          <w:szCs w:val="25"/>
        </w:rPr>
        <w:t>Z hlediska práce s prameny autor</w:t>
      </w:r>
      <w:r w:rsidR="00A755D1" w:rsidRPr="001C27F9">
        <w:rPr>
          <w:rFonts w:ascii="Garamond" w:hAnsi="Garamond"/>
          <w:sz w:val="25"/>
          <w:szCs w:val="25"/>
        </w:rPr>
        <w:t>ka</w:t>
      </w:r>
      <w:r w:rsidRPr="001C27F9">
        <w:rPr>
          <w:rFonts w:ascii="Garamond" w:hAnsi="Garamond"/>
          <w:sz w:val="25"/>
          <w:szCs w:val="25"/>
        </w:rPr>
        <w:t xml:space="preserve"> bezpochyby prokázal</w:t>
      </w:r>
      <w:r w:rsidR="00A755D1" w:rsidRPr="001C27F9">
        <w:rPr>
          <w:rFonts w:ascii="Garamond" w:hAnsi="Garamond"/>
          <w:sz w:val="25"/>
          <w:szCs w:val="25"/>
        </w:rPr>
        <w:t>a</w:t>
      </w:r>
      <w:r w:rsidRPr="001C27F9">
        <w:rPr>
          <w:rFonts w:ascii="Garamond" w:hAnsi="Garamond"/>
          <w:sz w:val="25"/>
          <w:szCs w:val="25"/>
        </w:rPr>
        <w:t xml:space="preserve"> schopnost odpovídajícím způsobem pracovat s odbornými texty, právními předpisy i </w:t>
      </w:r>
      <w:r w:rsidR="000B30FE">
        <w:rPr>
          <w:rFonts w:ascii="Garamond" w:hAnsi="Garamond"/>
          <w:sz w:val="25"/>
          <w:szCs w:val="25"/>
        </w:rPr>
        <w:t xml:space="preserve">soudní </w:t>
      </w:r>
      <w:r w:rsidRPr="001C27F9">
        <w:rPr>
          <w:rFonts w:ascii="Garamond" w:hAnsi="Garamond"/>
          <w:sz w:val="25"/>
          <w:szCs w:val="25"/>
        </w:rPr>
        <w:t xml:space="preserve">judikaturou. Strukturu pramenů lze považovat pro danou práci za dostatečnou (odborné monografie, komentáře, odborné </w:t>
      </w:r>
      <w:r w:rsidR="000B30FE">
        <w:rPr>
          <w:rFonts w:ascii="Garamond" w:hAnsi="Garamond"/>
          <w:sz w:val="25"/>
          <w:szCs w:val="25"/>
        </w:rPr>
        <w:t>časopisy i elektronické zdroje)</w:t>
      </w:r>
      <w:r w:rsidR="00A755D1" w:rsidRPr="001C27F9">
        <w:rPr>
          <w:rFonts w:ascii="Garamond" w:hAnsi="Garamond"/>
          <w:sz w:val="25"/>
          <w:szCs w:val="25"/>
        </w:rPr>
        <w:t>.</w:t>
      </w:r>
    </w:p>
    <w:bookmarkEnd w:id="0"/>
    <w:p w:rsidR="005F2E4F" w:rsidRPr="001C27F9" w:rsidRDefault="005F2E4F" w:rsidP="005F2E4F">
      <w:pPr>
        <w:spacing w:line="240" w:lineRule="auto"/>
        <w:jc w:val="both"/>
        <w:rPr>
          <w:rFonts w:ascii="Garamond" w:hAnsi="Garamond"/>
          <w:b/>
          <w:sz w:val="25"/>
          <w:szCs w:val="25"/>
        </w:rPr>
      </w:pPr>
      <w:r w:rsidRPr="001C27F9">
        <w:rPr>
          <w:rFonts w:ascii="Garamond" w:hAnsi="Garamond"/>
          <w:b/>
          <w:sz w:val="25"/>
          <w:szCs w:val="25"/>
        </w:rPr>
        <w:t xml:space="preserve">3. Formální úroveň práce </w:t>
      </w:r>
      <w:r w:rsidRPr="001C27F9">
        <w:rPr>
          <w:rFonts w:ascii="Garamond" w:hAnsi="Garamond"/>
          <w:sz w:val="25"/>
          <w:szCs w:val="25"/>
        </w:rPr>
        <w:t>(včetně práce s citacemi a poznámkovým aparátem)</w:t>
      </w:r>
      <w:r w:rsidRPr="001C27F9">
        <w:rPr>
          <w:rFonts w:ascii="Garamond" w:hAnsi="Garamond"/>
          <w:b/>
          <w:sz w:val="25"/>
          <w:szCs w:val="25"/>
        </w:rPr>
        <w:t>:</w:t>
      </w:r>
    </w:p>
    <w:p w:rsidR="005F2E4F" w:rsidRPr="001C27F9" w:rsidRDefault="005F2E4F" w:rsidP="005F2E4F">
      <w:pPr>
        <w:spacing w:line="240" w:lineRule="auto"/>
        <w:ind w:firstLine="540"/>
        <w:jc w:val="both"/>
        <w:rPr>
          <w:rFonts w:ascii="Garamond" w:hAnsi="Garamond"/>
          <w:sz w:val="25"/>
          <w:szCs w:val="25"/>
        </w:rPr>
      </w:pPr>
      <w:r w:rsidRPr="001C27F9">
        <w:rPr>
          <w:rFonts w:ascii="Garamond" w:hAnsi="Garamond"/>
          <w:sz w:val="25"/>
          <w:szCs w:val="25"/>
        </w:rPr>
        <w:t>Přihlédneme-li k formálním náležitostem, je posuzovaná práce zpracována v zásadě řádně a v souladu se stanovenými požadavky. Text neobsahuje zásadní stylistické chyby. Poznámkový aparát autor</w:t>
      </w:r>
      <w:r w:rsidR="00A755D1" w:rsidRPr="001C27F9">
        <w:rPr>
          <w:rFonts w:ascii="Garamond" w:hAnsi="Garamond"/>
          <w:sz w:val="25"/>
          <w:szCs w:val="25"/>
        </w:rPr>
        <w:t>ka</w:t>
      </w:r>
      <w:r w:rsidRPr="001C27F9">
        <w:rPr>
          <w:rFonts w:ascii="Garamond" w:hAnsi="Garamond"/>
          <w:sz w:val="25"/>
          <w:szCs w:val="25"/>
        </w:rPr>
        <w:t xml:space="preserve"> využívá způsobem odpovídaj</w:t>
      </w:r>
      <w:r w:rsidR="00A0495A">
        <w:rPr>
          <w:rFonts w:ascii="Garamond" w:hAnsi="Garamond"/>
          <w:sz w:val="25"/>
          <w:szCs w:val="25"/>
        </w:rPr>
        <w:t>ícím úrovni dané odborné</w:t>
      </w:r>
      <w:r w:rsidRPr="001C27F9">
        <w:rPr>
          <w:rFonts w:ascii="Garamond" w:hAnsi="Garamond"/>
          <w:sz w:val="25"/>
          <w:szCs w:val="25"/>
        </w:rPr>
        <w:t xml:space="preserve"> prác</w:t>
      </w:r>
      <w:r w:rsidR="00A755D1" w:rsidRPr="001C27F9">
        <w:rPr>
          <w:rFonts w:ascii="Garamond" w:hAnsi="Garamond"/>
          <w:sz w:val="25"/>
          <w:szCs w:val="25"/>
        </w:rPr>
        <w:t>e, byť na některých místech</w:t>
      </w:r>
      <w:r w:rsidRPr="001C27F9">
        <w:rPr>
          <w:rFonts w:ascii="Garamond" w:hAnsi="Garamond"/>
          <w:sz w:val="25"/>
          <w:szCs w:val="25"/>
        </w:rPr>
        <w:t xml:space="preserve"> poznámky pod čarou </w:t>
      </w:r>
      <w:r w:rsidR="00A755D1" w:rsidRPr="001C27F9">
        <w:rPr>
          <w:rFonts w:ascii="Garamond" w:hAnsi="Garamond"/>
          <w:sz w:val="25"/>
          <w:szCs w:val="25"/>
        </w:rPr>
        <w:t xml:space="preserve">působí poněkud rušivě a je otázkou, zda odkazy na právní úpravu neměly být součástí </w:t>
      </w:r>
      <w:r w:rsidR="00A0495A">
        <w:rPr>
          <w:rFonts w:ascii="Garamond" w:hAnsi="Garamond"/>
          <w:sz w:val="25"/>
          <w:szCs w:val="25"/>
        </w:rPr>
        <w:t xml:space="preserve">spíše </w:t>
      </w:r>
      <w:r w:rsidR="00A755D1" w:rsidRPr="001C27F9">
        <w:rPr>
          <w:rFonts w:ascii="Garamond" w:hAnsi="Garamond"/>
          <w:sz w:val="25"/>
          <w:szCs w:val="25"/>
        </w:rPr>
        <w:t>samotného textu práce (viz zejm. str. 43 a 44).</w:t>
      </w:r>
      <w:r w:rsidR="001C27F9">
        <w:rPr>
          <w:rFonts w:ascii="Garamond" w:hAnsi="Garamond"/>
          <w:sz w:val="25"/>
          <w:szCs w:val="25"/>
        </w:rPr>
        <w:t xml:space="preserve"> Z hlediska formálních pochybení lze poukázat mimo jiné na nepřesnost při označování Nejvyššího soudu, který autorka </w:t>
      </w:r>
      <w:r w:rsidR="00A0495A">
        <w:rPr>
          <w:rFonts w:ascii="Garamond" w:hAnsi="Garamond"/>
          <w:sz w:val="25"/>
          <w:szCs w:val="25"/>
        </w:rPr>
        <w:t>označuje v různých částech textu</w:t>
      </w:r>
      <w:r w:rsidR="001C27F9">
        <w:rPr>
          <w:rFonts w:ascii="Garamond" w:hAnsi="Garamond"/>
          <w:sz w:val="25"/>
          <w:szCs w:val="25"/>
        </w:rPr>
        <w:t xml:space="preserve"> a dokonce i v</w:t>
      </w:r>
      <w:r w:rsidR="00A0495A">
        <w:rPr>
          <w:rFonts w:ascii="Garamond" w:hAnsi="Garamond"/>
          <w:sz w:val="25"/>
          <w:szCs w:val="25"/>
        </w:rPr>
        <w:t xml:space="preserve"> samotném </w:t>
      </w:r>
      <w:r w:rsidR="001C27F9">
        <w:rPr>
          <w:rFonts w:ascii="Garamond" w:hAnsi="Garamond"/>
          <w:sz w:val="25"/>
          <w:szCs w:val="25"/>
        </w:rPr>
        <w:t xml:space="preserve">seznamu pramenů různě (neznalý čtenář by mohl nabýt dojmu, že vedle „Nejvyššího soudu“ </w:t>
      </w:r>
      <w:r w:rsidR="00A0495A">
        <w:rPr>
          <w:rFonts w:ascii="Garamond" w:hAnsi="Garamond"/>
          <w:sz w:val="25"/>
          <w:szCs w:val="25"/>
        </w:rPr>
        <w:t>aktuálně</w:t>
      </w:r>
      <w:r w:rsidR="00387BF2">
        <w:rPr>
          <w:rFonts w:ascii="Garamond" w:hAnsi="Garamond"/>
          <w:sz w:val="25"/>
          <w:szCs w:val="25"/>
        </w:rPr>
        <w:t xml:space="preserve"> existuje i </w:t>
      </w:r>
      <w:r w:rsidR="001C27F9">
        <w:rPr>
          <w:rFonts w:ascii="Garamond" w:hAnsi="Garamond"/>
          <w:sz w:val="25"/>
          <w:szCs w:val="25"/>
        </w:rPr>
        <w:t>„Nejvyšší soud</w:t>
      </w:r>
      <w:r w:rsidR="00387BF2">
        <w:rPr>
          <w:rFonts w:ascii="Garamond" w:hAnsi="Garamond"/>
          <w:sz w:val="25"/>
          <w:szCs w:val="25"/>
        </w:rPr>
        <w:t xml:space="preserve"> ČR“.</w:t>
      </w:r>
      <w:r w:rsidR="001C27F9">
        <w:rPr>
          <w:rFonts w:ascii="Garamond" w:hAnsi="Garamond"/>
          <w:sz w:val="25"/>
          <w:szCs w:val="25"/>
        </w:rPr>
        <w:t xml:space="preserve">  </w:t>
      </w:r>
    </w:p>
    <w:p w:rsidR="005F2E4F" w:rsidRPr="001C27F9" w:rsidRDefault="005F2E4F" w:rsidP="005F2E4F">
      <w:pPr>
        <w:spacing w:line="240" w:lineRule="auto"/>
        <w:jc w:val="both"/>
        <w:rPr>
          <w:rFonts w:ascii="Garamond" w:hAnsi="Garamond"/>
          <w:sz w:val="25"/>
          <w:szCs w:val="25"/>
        </w:rPr>
      </w:pPr>
      <w:r w:rsidRPr="001C27F9">
        <w:rPr>
          <w:rFonts w:ascii="Garamond" w:hAnsi="Garamond"/>
          <w:b/>
          <w:sz w:val="25"/>
          <w:szCs w:val="25"/>
        </w:rPr>
        <w:t xml:space="preserve">4. Celkové hodnocení práce a její doporučení k obhajobě: </w:t>
      </w:r>
      <w:r w:rsidRPr="001C27F9">
        <w:rPr>
          <w:rFonts w:ascii="Garamond" w:hAnsi="Garamond"/>
          <w:sz w:val="25"/>
          <w:szCs w:val="25"/>
        </w:rPr>
        <w:t>(včetně naplnění zadání a cíle práce)</w:t>
      </w:r>
      <w:r w:rsidRPr="001C27F9">
        <w:rPr>
          <w:rFonts w:ascii="Garamond" w:hAnsi="Garamond"/>
          <w:b/>
          <w:sz w:val="25"/>
          <w:szCs w:val="25"/>
        </w:rPr>
        <w:t>:</w:t>
      </w:r>
    </w:p>
    <w:p w:rsidR="00A0495A" w:rsidRDefault="005F2E4F" w:rsidP="00A0495A">
      <w:pPr>
        <w:spacing w:line="240" w:lineRule="auto"/>
        <w:ind w:firstLine="540"/>
        <w:jc w:val="both"/>
        <w:rPr>
          <w:rFonts w:ascii="Garamond" w:hAnsi="Garamond"/>
          <w:sz w:val="25"/>
          <w:szCs w:val="25"/>
        </w:rPr>
      </w:pPr>
      <w:r w:rsidRPr="001C27F9">
        <w:rPr>
          <w:rFonts w:ascii="Garamond" w:hAnsi="Garamond"/>
          <w:sz w:val="25"/>
          <w:szCs w:val="25"/>
        </w:rPr>
        <w:t>Posuzovaná diplomová práce je zpracována ta</w:t>
      </w:r>
      <w:r w:rsidR="00A755D1" w:rsidRPr="001C27F9">
        <w:rPr>
          <w:rFonts w:ascii="Garamond" w:hAnsi="Garamond"/>
          <w:sz w:val="25"/>
          <w:szCs w:val="25"/>
        </w:rPr>
        <w:t>k, že i přes výše uvedené</w:t>
      </w:r>
      <w:r w:rsidRPr="001C27F9">
        <w:rPr>
          <w:rFonts w:ascii="Garamond" w:hAnsi="Garamond"/>
          <w:sz w:val="25"/>
          <w:szCs w:val="25"/>
        </w:rPr>
        <w:t xml:space="preserve"> výtky nepochybně odpovídá požadavkům kladeným na diplomové práce, přičemž cíle práce</w:t>
      </w:r>
      <w:r w:rsidR="00A755D1" w:rsidRPr="001C27F9">
        <w:rPr>
          <w:rFonts w:ascii="Garamond" w:hAnsi="Garamond"/>
          <w:sz w:val="25"/>
          <w:szCs w:val="25"/>
        </w:rPr>
        <w:t xml:space="preserve"> a zadání tématu byly zcela jistě naplněny. </w:t>
      </w:r>
      <w:r w:rsidRPr="001C27F9">
        <w:rPr>
          <w:rFonts w:ascii="Garamond" w:hAnsi="Garamond"/>
          <w:sz w:val="25"/>
          <w:szCs w:val="25"/>
        </w:rPr>
        <w:t xml:space="preserve">Jak již bylo výše uvedeno, práce se sice nezabývá některými aspekty </w:t>
      </w:r>
      <w:r w:rsidR="00A755D1" w:rsidRPr="001C27F9">
        <w:rPr>
          <w:rFonts w:ascii="Garamond" w:hAnsi="Garamond"/>
          <w:sz w:val="25"/>
          <w:szCs w:val="25"/>
        </w:rPr>
        <w:t xml:space="preserve">popisovaných </w:t>
      </w:r>
      <w:r w:rsidRPr="001C27F9">
        <w:rPr>
          <w:rFonts w:ascii="Garamond" w:hAnsi="Garamond"/>
          <w:sz w:val="25"/>
          <w:szCs w:val="25"/>
        </w:rPr>
        <w:t>otázek, kte</w:t>
      </w:r>
      <w:r w:rsidR="00A755D1" w:rsidRPr="001C27F9">
        <w:rPr>
          <w:rFonts w:ascii="Garamond" w:hAnsi="Garamond"/>
          <w:sz w:val="25"/>
          <w:szCs w:val="25"/>
        </w:rPr>
        <w:t>ré možn</w:t>
      </w:r>
      <w:r w:rsidR="00101DA0" w:rsidRPr="001C27F9">
        <w:rPr>
          <w:rFonts w:ascii="Garamond" w:hAnsi="Garamond"/>
          <w:sz w:val="25"/>
          <w:szCs w:val="25"/>
        </w:rPr>
        <w:t>á též stály za pozornost. Autor</w:t>
      </w:r>
      <w:r w:rsidR="00A755D1" w:rsidRPr="001C27F9">
        <w:rPr>
          <w:rFonts w:ascii="Garamond" w:hAnsi="Garamond"/>
          <w:sz w:val="25"/>
          <w:szCs w:val="25"/>
        </w:rPr>
        <w:t xml:space="preserve">ka </w:t>
      </w:r>
      <w:r w:rsidR="00101DA0" w:rsidRPr="001C27F9">
        <w:rPr>
          <w:rFonts w:ascii="Garamond" w:hAnsi="Garamond"/>
          <w:sz w:val="25"/>
          <w:szCs w:val="25"/>
        </w:rPr>
        <w:t xml:space="preserve">nicméně </w:t>
      </w:r>
      <w:r w:rsidR="00A755D1" w:rsidRPr="001C27F9">
        <w:rPr>
          <w:rFonts w:ascii="Garamond" w:hAnsi="Garamond"/>
          <w:sz w:val="25"/>
          <w:szCs w:val="25"/>
        </w:rPr>
        <w:t>prokázala velmi dobrou orientaci v r</w:t>
      </w:r>
      <w:r w:rsidR="00A0495A">
        <w:rPr>
          <w:rFonts w:ascii="Garamond" w:hAnsi="Garamond"/>
          <w:sz w:val="25"/>
          <w:szCs w:val="25"/>
        </w:rPr>
        <w:t>ámci popisované problematiky. P</w:t>
      </w:r>
      <w:r w:rsidR="00A755D1" w:rsidRPr="001C27F9">
        <w:rPr>
          <w:rFonts w:ascii="Garamond" w:hAnsi="Garamond"/>
          <w:sz w:val="25"/>
          <w:szCs w:val="25"/>
        </w:rPr>
        <w:t xml:space="preserve">ředevším pokud jde o popis „technické“ materie (např. </w:t>
      </w:r>
      <w:r w:rsidR="00101DA0" w:rsidRPr="001C27F9">
        <w:rPr>
          <w:rFonts w:ascii="Garamond" w:hAnsi="Garamond"/>
          <w:sz w:val="25"/>
          <w:szCs w:val="25"/>
        </w:rPr>
        <w:t xml:space="preserve">náležitosti návrhu, str. 51 a </w:t>
      </w:r>
      <w:proofErr w:type="spellStart"/>
      <w:r w:rsidR="00101DA0" w:rsidRPr="001C27F9">
        <w:rPr>
          <w:rFonts w:ascii="Garamond" w:hAnsi="Garamond"/>
          <w:sz w:val="25"/>
          <w:szCs w:val="25"/>
        </w:rPr>
        <w:t>n</w:t>
      </w:r>
      <w:r w:rsidR="00A755D1" w:rsidRPr="001C27F9">
        <w:rPr>
          <w:rFonts w:ascii="Garamond" w:hAnsi="Garamond"/>
          <w:sz w:val="25"/>
          <w:szCs w:val="25"/>
        </w:rPr>
        <w:t>ásl</w:t>
      </w:r>
      <w:proofErr w:type="spellEnd"/>
      <w:r w:rsidR="00A755D1" w:rsidRPr="001C27F9">
        <w:rPr>
          <w:rFonts w:ascii="Garamond" w:hAnsi="Garamond"/>
          <w:sz w:val="25"/>
          <w:szCs w:val="25"/>
        </w:rPr>
        <w:t xml:space="preserve">.; </w:t>
      </w:r>
      <w:r w:rsidR="00270F47" w:rsidRPr="001C27F9">
        <w:rPr>
          <w:rFonts w:ascii="Garamond" w:hAnsi="Garamond"/>
          <w:sz w:val="25"/>
          <w:szCs w:val="25"/>
        </w:rPr>
        <w:t xml:space="preserve">či </w:t>
      </w:r>
      <w:r w:rsidR="00A755D1" w:rsidRPr="001C27F9">
        <w:rPr>
          <w:rFonts w:ascii="Garamond" w:hAnsi="Garamond"/>
          <w:sz w:val="25"/>
          <w:szCs w:val="25"/>
        </w:rPr>
        <w:t>vady podání, s</w:t>
      </w:r>
      <w:r w:rsidR="00101DA0" w:rsidRPr="001C27F9">
        <w:rPr>
          <w:rFonts w:ascii="Garamond" w:hAnsi="Garamond"/>
          <w:sz w:val="25"/>
          <w:szCs w:val="25"/>
        </w:rPr>
        <w:t xml:space="preserve">tr. 72 a </w:t>
      </w:r>
      <w:proofErr w:type="spellStart"/>
      <w:r w:rsidR="00101DA0" w:rsidRPr="001C27F9">
        <w:rPr>
          <w:rFonts w:ascii="Garamond" w:hAnsi="Garamond"/>
          <w:sz w:val="25"/>
          <w:szCs w:val="25"/>
        </w:rPr>
        <w:t>násl</w:t>
      </w:r>
      <w:proofErr w:type="spellEnd"/>
      <w:r w:rsidR="00101DA0" w:rsidRPr="001C27F9">
        <w:rPr>
          <w:rFonts w:ascii="Garamond" w:hAnsi="Garamond"/>
          <w:sz w:val="25"/>
          <w:szCs w:val="25"/>
        </w:rPr>
        <w:t>.</w:t>
      </w:r>
      <w:r w:rsidR="00A0495A">
        <w:rPr>
          <w:rFonts w:ascii="Garamond" w:hAnsi="Garamond"/>
          <w:sz w:val="25"/>
          <w:szCs w:val="25"/>
        </w:rPr>
        <w:t>, apod.</w:t>
      </w:r>
      <w:r w:rsidR="00101DA0" w:rsidRPr="001C27F9">
        <w:rPr>
          <w:rFonts w:ascii="Garamond" w:hAnsi="Garamond"/>
          <w:sz w:val="25"/>
          <w:szCs w:val="25"/>
        </w:rPr>
        <w:t>), není důvod prác</w:t>
      </w:r>
      <w:r w:rsidR="00A755D1" w:rsidRPr="001C27F9">
        <w:rPr>
          <w:rFonts w:ascii="Garamond" w:hAnsi="Garamond"/>
          <w:sz w:val="25"/>
          <w:szCs w:val="25"/>
        </w:rPr>
        <w:t xml:space="preserve">i vytýkat cokoliv </w:t>
      </w:r>
      <w:r w:rsidR="00101DA0" w:rsidRPr="001C27F9">
        <w:rPr>
          <w:rFonts w:ascii="Garamond" w:hAnsi="Garamond"/>
          <w:sz w:val="25"/>
          <w:szCs w:val="25"/>
        </w:rPr>
        <w:t>zásadního. Stejně tak autorka prokázala (pro dané téma) nutnou orientaci i v oblasti soukromého p</w:t>
      </w:r>
      <w:r w:rsidR="00A0495A">
        <w:rPr>
          <w:rFonts w:ascii="Garamond" w:hAnsi="Garamond"/>
          <w:sz w:val="25"/>
          <w:szCs w:val="25"/>
        </w:rPr>
        <w:t>ráva. Jak již bylo výše uvedeno, výhrady</w:t>
      </w:r>
      <w:r w:rsidR="00101DA0" w:rsidRPr="001C27F9">
        <w:rPr>
          <w:rFonts w:ascii="Garamond" w:hAnsi="Garamond"/>
          <w:sz w:val="25"/>
          <w:szCs w:val="25"/>
        </w:rPr>
        <w:t xml:space="preserve"> lze </w:t>
      </w:r>
      <w:r w:rsidR="00A0495A">
        <w:rPr>
          <w:rFonts w:ascii="Garamond" w:hAnsi="Garamond"/>
          <w:sz w:val="25"/>
          <w:szCs w:val="25"/>
        </w:rPr>
        <w:t xml:space="preserve">naopak </w:t>
      </w:r>
      <w:r w:rsidR="00101DA0" w:rsidRPr="001C27F9">
        <w:rPr>
          <w:rFonts w:ascii="Garamond" w:hAnsi="Garamond"/>
          <w:sz w:val="25"/>
          <w:szCs w:val="25"/>
        </w:rPr>
        <w:t xml:space="preserve">směřovat především k částem „procesním“, v nichž nepochybně byl prostor (obsahový i rozsahový), který </w:t>
      </w:r>
      <w:r w:rsidR="00A0495A">
        <w:rPr>
          <w:rFonts w:ascii="Garamond" w:hAnsi="Garamond"/>
          <w:sz w:val="25"/>
          <w:szCs w:val="25"/>
        </w:rPr>
        <w:t>mohla</w:t>
      </w:r>
      <w:r w:rsidR="00101DA0" w:rsidRPr="001C27F9">
        <w:rPr>
          <w:rFonts w:ascii="Garamond" w:hAnsi="Garamond"/>
          <w:sz w:val="25"/>
          <w:szCs w:val="25"/>
        </w:rPr>
        <w:t xml:space="preserve"> autorka využ</w:t>
      </w:r>
      <w:r w:rsidR="001C27F9" w:rsidRPr="001C27F9">
        <w:rPr>
          <w:rFonts w:ascii="Garamond" w:hAnsi="Garamond"/>
          <w:sz w:val="25"/>
          <w:szCs w:val="25"/>
        </w:rPr>
        <w:t xml:space="preserve">ít. Některé části textu </w:t>
      </w:r>
      <w:r w:rsidR="00A0495A">
        <w:rPr>
          <w:rFonts w:ascii="Garamond" w:hAnsi="Garamond"/>
          <w:sz w:val="25"/>
          <w:szCs w:val="25"/>
        </w:rPr>
        <w:t xml:space="preserve">navíc v této souvislosti </w:t>
      </w:r>
      <w:r w:rsidR="001C27F9" w:rsidRPr="001C27F9">
        <w:rPr>
          <w:rFonts w:ascii="Garamond" w:hAnsi="Garamond"/>
          <w:sz w:val="25"/>
          <w:szCs w:val="25"/>
        </w:rPr>
        <w:t>nepovažuji za úplně</w:t>
      </w:r>
      <w:r w:rsidR="00101DA0" w:rsidRPr="001C27F9">
        <w:rPr>
          <w:rFonts w:ascii="Garamond" w:hAnsi="Garamond"/>
          <w:sz w:val="25"/>
          <w:szCs w:val="25"/>
        </w:rPr>
        <w:t xml:space="preserve"> srozumitelné (např. problematika sjednocení „žádostí a návrhů“ na základě požadavků judikatury </w:t>
      </w:r>
      <w:r w:rsidR="00A0495A">
        <w:rPr>
          <w:rFonts w:ascii="Garamond" w:hAnsi="Garamond"/>
          <w:sz w:val="25"/>
          <w:szCs w:val="25"/>
        </w:rPr>
        <w:t xml:space="preserve">popisovaných </w:t>
      </w:r>
      <w:r w:rsidR="00101DA0" w:rsidRPr="001C27F9">
        <w:rPr>
          <w:rFonts w:ascii="Garamond" w:hAnsi="Garamond"/>
          <w:sz w:val="25"/>
          <w:szCs w:val="25"/>
        </w:rPr>
        <w:t xml:space="preserve">na str. 49-50). </w:t>
      </w:r>
    </w:p>
    <w:p w:rsidR="005F2E4F" w:rsidRPr="001C27F9" w:rsidRDefault="00101DA0" w:rsidP="00A0495A">
      <w:pPr>
        <w:spacing w:line="240" w:lineRule="auto"/>
        <w:ind w:firstLine="540"/>
        <w:jc w:val="both"/>
        <w:rPr>
          <w:rFonts w:ascii="Garamond" w:hAnsi="Garamond"/>
          <w:sz w:val="25"/>
          <w:szCs w:val="25"/>
        </w:rPr>
      </w:pPr>
      <w:r w:rsidRPr="001C27F9">
        <w:rPr>
          <w:rFonts w:ascii="Garamond" w:hAnsi="Garamond"/>
          <w:sz w:val="25"/>
          <w:szCs w:val="25"/>
        </w:rPr>
        <w:t xml:space="preserve">Lze ještě dodat, že autorka povětšinou setrvala pouze na popisu právní úpravy a závěrů odborné literatury či dalších zdrojů a dostatečně nevyužila příležitosti k některým sporným právním otázkám (kde se to nabízelo, viz např. </w:t>
      </w:r>
      <w:r w:rsidR="00270F47" w:rsidRPr="001C27F9">
        <w:rPr>
          <w:rFonts w:ascii="Garamond" w:hAnsi="Garamond"/>
          <w:sz w:val="25"/>
          <w:szCs w:val="25"/>
        </w:rPr>
        <w:t>otázka evidence tzv. dočasných staveb na str. 40</w:t>
      </w:r>
      <w:r w:rsidRPr="001C27F9">
        <w:rPr>
          <w:rFonts w:ascii="Garamond" w:hAnsi="Garamond"/>
          <w:sz w:val="25"/>
          <w:szCs w:val="25"/>
        </w:rPr>
        <w:t xml:space="preserve">) vyslovit svůj vlastní závěr. Smyslem diplomové práce by nemělo být pouze prokázat schopnost popsat a systematicky setřídit právní úpravu (judikaturu) k určité problematice, ale psaní diplomové práce by studenty mělo vést i k prokázání schopnosti odpovídajícím způsobem právně argumentovat.    </w:t>
      </w:r>
    </w:p>
    <w:p w:rsidR="005F2E4F" w:rsidRPr="001C27F9" w:rsidRDefault="005F2E4F" w:rsidP="005F2E4F">
      <w:pPr>
        <w:spacing w:line="240" w:lineRule="auto"/>
        <w:jc w:val="both"/>
        <w:rPr>
          <w:rFonts w:ascii="Garamond" w:hAnsi="Garamond"/>
          <w:b/>
          <w:sz w:val="25"/>
          <w:szCs w:val="25"/>
        </w:rPr>
      </w:pPr>
      <w:r w:rsidRPr="001C27F9">
        <w:rPr>
          <w:rFonts w:ascii="Garamond" w:hAnsi="Garamond"/>
          <w:b/>
          <w:sz w:val="25"/>
          <w:szCs w:val="25"/>
        </w:rPr>
        <w:lastRenderedPageBreak/>
        <w:t xml:space="preserve">5. Doporučení práce k obhajobě </w:t>
      </w:r>
      <w:r w:rsidRPr="001C27F9">
        <w:rPr>
          <w:rFonts w:ascii="Garamond" w:hAnsi="Garamond"/>
          <w:sz w:val="25"/>
          <w:szCs w:val="25"/>
        </w:rPr>
        <w:t>(zda se práce doporučuje či nedoporučuje k obhajobě)</w:t>
      </w:r>
      <w:r w:rsidRPr="001C27F9">
        <w:rPr>
          <w:rFonts w:ascii="Garamond" w:hAnsi="Garamond"/>
          <w:b/>
          <w:sz w:val="25"/>
          <w:szCs w:val="25"/>
        </w:rPr>
        <w:t>:</w:t>
      </w:r>
    </w:p>
    <w:p w:rsidR="005F2E4F" w:rsidRPr="001C27F9" w:rsidRDefault="005F2E4F" w:rsidP="005F2E4F">
      <w:pPr>
        <w:spacing w:line="240" w:lineRule="auto"/>
        <w:ind w:firstLine="540"/>
        <w:jc w:val="both"/>
        <w:rPr>
          <w:rFonts w:ascii="Garamond" w:hAnsi="Garamond"/>
          <w:sz w:val="25"/>
          <w:szCs w:val="25"/>
        </w:rPr>
      </w:pPr>
      <w:r w:rsidRPr="001C27F9">
        <w:rPr>
          <w:rFonts w:ascii="Garamond" w:hAnsi="Garamond"/>
          <w:sz w:val="25"/>
          <w:szCs w:val="25"/>
        </w:rPr>
        <w:t>Předloženou diplomovou práci</w:t>
      </w:r>
      <w:r w:rsidR="00A0495A">
        <w:rPr>
          <w:rFonts w:ascii="Garamond" w:hAnsi="Garamond"/>
          <w:sz w:val="25"/>
          <w:szCs w:val="25"/>
        </w:rPr>
        <w:t xml:space="preserve"> lze přes výše uvedené výhrady dle mého názoru</w:t>
      </w:r>
      <w:r w:rsidRPr="001C27F9">
        <w:rPr>
          <w:rFonts w:ascii="Garamond" w:hAnsi="Garamond"/>
          <w:sz w:val="25"/>
          <w:szCs w:val="25"/>
        </w:rPr>
        <w:t xml:space="preserve"> k obhajobě nepochybně doporučit, přičemž navrhuji její hodnocení známkou výborně </w:t>
      </w:r>
      <w:r w:rsidR="00E5333E" w:rsidRPr="001C27F9">
        <w:rPr>
          <w:rFonts w:ascii="Garamond" w:hAnsi="Garamond"/>
          <w:sz w:val="25"/>
          <w:szCs w:val="25"/>
        </w:rPr>
        <w:t xml:space="preserve">či velmi dobře </w:t>
      </w:r>
      <w:r w:rsidRPr="001C27F9">
        <w:rPr>
          <w:rFonts w:ascii="Garamond" w:hAnsi="Garamond"/>
          <w:sz w:val="25"/>
          <w:szCs w:val="25"/>
        </w:rPr>
        <w:t>s tím, že v rámci samotného výsledného hodnocení bude samozřejmě nezbytné zohlednit i podobu ústní obhajoby práce ze strany autor</w:t>
      </w:r>
      <w:r w:rsidR="00E5333E" w:rsidRPr="001C27F9">
        <w:rPr>
          <w:rFonts w:ascii="Garamond" w:hAnsi="Garamond"/>
          <w:sz w:val="25"/>
          <w:szCs w:val="25"/>
        </w:rPr>
        <w:t>ky</w:t>
      </w:r>
      <w:r w:rsidRPr="001C27F9">
        <w:rPr>
          <w:rFonts w:ascii="Garamond" w:hAnsi="Garamond"/>
          <w:sz w:val="25"/>
          <w:szCs w:val="25"/>
        </w:rPr>
        <w:t>.</w:t>
      </w:r>
    </w:p>
    <w:p w:rsidR="005F2E4F" w:rsidRPr="001C27F9" w:rsidRDefault="005F2E4F" w:rsidP="005F2E4F">
      <w:pPr>
        <w:spacing w:line="240" w:lineRule="auto"/>
        <w:jc w:val="both"/>
        <w:rPr>
          <w:rFonts w:ascii="Garamond" w:hAnsi="Garamond"/>
          <w:b/>
          <w:sz w:val="25"/>
          <w:szCs w:val="25"/>
        </w:rPr>
      </w:pPr>
      <w:r w:rsidRPr="001C27F9">
        <w:rPr>
          <w:rFonts w:ascii="Garamond" w:hAnsi="Garamond"/>
          <w:b/>
          <w:sz w:val="25"/>
          <w:szCs w:val="25"/>
        </w:rPr>
        <w:t>6. Otázky a připomínky doporučené k rozpravě při obhajobě:</w:t>
      </w:r>
    </w:p>
    <w:p w:rsidR="005F2E4F" w:rsidRPr="001C27F9" w:rsidRDefault="005F2E4F" w:rsidP="005F2E4F">
      <w:pPr>
        <w:spacing w:line="240" w:lineRule="auto"/>
        <w:ind w:firstLine="540"/>
        <w:jc w:val="both"/>
        <w:rPr>
          <w:rFonts w:ascii="Garamond" w:hAnsi="Garamond"/>
          <w:sz w:val="25"/>
          <w:szCs w:val="25"/>
        </w:rPr>
      </w:pPr>
      <w:r w:rsidRPr="001C27F9">
        <w:rPr>
          <w:rFonts w:ascii="Garamond" w:hAnsi="Garamond"/>
          <w:sz w:val="25"/>
          <w:szCs w:val="25"/>
        </w:rPr>
        <w:t>V rámci ústní obhajoby diplomové práce by se autor</w:t>
      </w:r>
      <w:r w:rsidR="00E5333E" w:rsidRPr="001C27F9">
        <w:rPr>
          <w:rFonts w:ascii="Garamond" w:hAnsi="Garamond"/>
          <w:sz w:val="25"/>
          <w:szCs w:val="25"/>
        </w:rPr>
        <w:t>ka</w:t>
      </w:r>
      <w:r w:rsidRPr="001C27F9">
        <w:rPr>
          <w:rFonts w:ascii="Garamond" w:hAnsi="Garamond"/>
          <w:sz w:val="25"/>
          <w:szCs w:val="25"/>
        </w:rPr>
        <w:t xml:space="preserve"> měl vypořádat s výtkami obsaženými v tomto posudku a samozřejmě by měl</w:t>
      </w:r>
      <w:r w:rsidR="00387BF2">
        <w:rPr>
          <w:rFonts w:ascii="Garamond" w:hAnsi="Garamond"/>
          <w:sz w:val="25"/>
          <w:szCs w:val="25"/>
        </w:rPr>
        <w:t>a být schop</w:t>
      </w:r>
      <w:r w:rsidRPr="001C27F9">
        <w:rPr>
          <w:rFonts w:ascii="Garamond" w:hAnsi="Garamond"/>
          <w:sz w:val="25"/>
          <w:szCs w:val="25"/>
        </w:rPr>
        <w:t>n</w:t>
      </w:r>
      <w:r w:rsidR="00387BF2">
        <w:rPr>
          <w:rFonts w:ascii="Garamond" w:hAnsi="Garamond"/>
          <w:sz w:val="25"/>
          <w:szCs w:val="25"/>
        </w:rPr>
        <w:t>a</w:t>
      </w:r>
      <w:r w:rsidRPr="001C27F9">
        <w:rPr>
          <w:rFonts w:ascii="Garamond" w:hAnsi="Garamond"/>
          <w:sz w:val="25"/>
          <w:szCs w:val="25"/>
        </w:rPr>
        <w:t xml:space="preserve"> zodpovědět otázky vzešlé z diskuse před zkušební komisí. Z obhajoby by také mělo být zřejmé, že závěry učiněné v práci v písemné podobě je autor</w:t>
      </w:r>
      <w:r w:rsidR="00387BF2">
        <w:rPr>
          <w:rFonts w:ascii="Garamond" w:hAnsi="Garamond"/>
          <w:sz w:val="25"/>
          <w:szCs w:val="25"/>
        </w:rPr>
        <w:t>ka schop</w:t>
      </w:r>
      <w:r w:rsidRPr="001C27F9">
        <w:rPr>
          <w:rFonts w:ascii="Garamond" w:hAnsi="Garamond"/>
          <w:sz w:val="25"/>
          <w:szCs w:val="25"/>
        </w:rPr>
        <w:t>n</w:t>
      </w:r>
      <w:r w:rsidR="00387BF2">
        <w:rPr>
          <w:rFonts w:ascii="Garamond" w:hAnsi="Garamond"/>
          <w:sz w:val="25"/>
          <w:szCs w:val="25"/>
        </w:rPr>
        <w:t>a</w:t>
      </w:r>
      <w:r w:rsidRPr="001C27F9">
        <w:rPr>
          <w:rFonts w:ascii="Garamond" w:hAnsi="Garamond"/>
          <w:sz w:val="25"/>
          <w:szCs w:val="25"/>
        </w:rPr>
        <w:t xml:space="preserve"> přehledně a srozumitelně formulovat též ústně.</w:t>
      </w:r>
    </w:p>
    <w:p w:rsidR="005F2E4F" w:rsidRPr="001C27F9" w:rsidRDefault="005F2E4F" w:rsidP="001C27F9">
      <w:pPr>
        <w:spacing w:line="240" w:lineRule="auto"/>
        <w:ind w:firstLine="540"/>
        <w:jc w:val="both"/>
        <w:rPr>
          <w:rFonts w:ascii="Garamond" w:hAnsi="Garamond"/>
          <w:sz w:val="25"/>
          <w:szCs w:val="25"/>
        </w:rPr>
      </w:pPr>
      <w:r w:rsidRPr="001C27F9">
        <w:rPr>
          <w:rFonts w:ascii="Garamond" w:hAnsi="Garamond"/>
          <w:sz w:val="25"/>
          <w:szCs w:val="25"/>
        </w:rPr>
        <w:t xml:space="preserve">Jako případné téma k diskusi u ústní obhajoby </w:t>
      </w:r>
      <w:r w:rsidR="001C27F9" w:rsidRPr="001C27F9">
        <w:rPr>
          <w:rFonts w:ascii="Garamond" w:hAnsi="Garamond"/>
          <w:sz w:val="25"/>
          <w:szCs w:val="25"/>
        </w:rPr>
        <w:t xml:space="preserve">dále </w:t>
      </w:r>
      <w:r w:rsidRPr="001C27F9">
        <w:rPr>
          <w:rFonts w:ascii="Garamond" w:hAnsi="Garamond"/>
          <w:sz w:val="25"/>
          <w:szCs w:val="25"/>
        </w:rPr>
        <w:t>n</w:t>
      </w:r>
      <w:r w:rsidR="008C7C6E" w:rsidRPr="001C27F9">
        <w:rPr>
          <w:rFonts w:ascii="Garamond" w:hAnsi="Garamond"/>
          <w:sz w:val="25"/>
          <w:szCs w:val="25"/>
        </w:rPr>
        <w:t>avrhuji, aby autorka</w:t>
      </w:r>
      <w:r w:rsidR="001C27F9" w:rsidRPr="001C27F9">
        <w:rPr>
          <w:rFonts w:ascii="Garamond" w:hAnsi="Garamond"/>
          <w:sz w:val="25"/>
          <w:szCs w:val="25"/>
        </w:rPr>
        <w:t xml:space="preserve"> více přiblížila </w:t>
      </w:r>
      <w:r w:rsidR="00387BF2">
        <w:rPr>
          <w:rFonts w:ascii="Garamond" w:hAnsi="Garamond"/>
          <w:sz w:val="25"/>
          <w:szCs w:val="25"/>
        </w:rPr>
        <w:t xml:space="preserve">své </w:t>
      </w:r>
      <w:r w:rsidR="001C27F9" w:rsidRPr="001C27F9">
        <w:rPr>
          <w:rFonts w:ascii="Garamond" w:hAnsi="Garamond"/>
          <w:sz w:val="25"/>
          <w:szCs w:val="25"/>
        </w:rPr>
        <w:t xml:space="preserve">úvahy </w:t>
      </w:r>
      <w:r w:rsidR="001C27F9" w:rsidRPr="001C27F9">
        <w:rPr>
          <w:rFonts w:ascii="Garamond" w:hAnsi="Garamond"/>
          <w:i/>
          <w:sz w:val="25"/>
          <w:szCs w:val="25"/>
        </w:rPr>
        <w:t xml:space="preserve">de </w:t>
      </w:r>
      <w:proofErr w:type="spellStart"/>
      <w:r w:rsidR="001C27F9" w:rsidRPr="001C27F9">
        <w:rPr>
          <w:rFonts w:ascii="Garamond" w:hAnsi="Garamond"/>
          <w:i/>
          <w:sz w:val="25"/>
          <w:szCs w:val="25"/>
        </w:rPr>
        <w:t>lege</w:t>
      </w:r>
      <w:proofErr w:type="spellEnd"/>
      <w:r w:rsidR="001C27F9" w:rsidRPr="001C27F9">
        <w:rPr>
          <w:rFonts w:ascii="Garamond" w:hAnsi="Garamond"/>
          <w:i/>
          <w:sz w:val="25"/>
          <w:szCs w:val="25"/>
        </w:rPr>
        <w:t xml:space="preserve"> </w:t>
      </w:r>
      <w:proofErr w:type="spellStart"/>
      <w:r w:rsidR="001C27F9" w:rsidRPr="001C27F9">
        <w:rPr>
          <w:rFonts w:ascii="Garamond" w:hAnsi="Garamond"/>
          <w:i/>
          <w:sz w:val="25"/>
          <w:szCs w:val="25"/>
        </w:rPr>
        <w:t>ferenda</w:t>
      </w:r>
      <w:proofErr w:type="spellEnd"/>
      <w:r w:rsidR="001C27F9" w:rsidRPr="001C27F9">
        <w:rPr>
          <w:rFonts w:ascii="Garamond" w:hAnsi="Garamond"/>
          <w:sz w:val="25"/>
          <w:szCs w:val="25"/>
        </w:rPr>
        <w:t xml:space="preserve"> týkající se vymezení účastníků řízení </w:t>
      </w:r>
      <w:r w:rsidR="00387BF2">
        <w:rPr>
          <w:rFonts w:ascii="Garamond" w:hAnsi="Garamond"/>
          <w:sz w:val="25"/>
          <w:szCs w:val="25"/>
        </w:rPr>
        <w:t xml:space="preserve">(viz </w:t>
      </w:r>
      <w:r w:rsidR="001C27F9" w:rsidRPr="001C27F9">
        <w:rPr>
          <w:rFonts w:ascii="Garamond" w:hAnsi="Garamond"/>
          <w:sz w:val="25"/>
          <w:szCs w:val="25"/>
        </w:rPr>
        <w:t>str. 46</w:t>
      </w:r>
      <w:r w:rsidR="00387BF2">
        <w:rPr>
          <w:rFonts w:ascii="Garamond" w:hAnsi="Garamond"/>
          <w:sz w:val="25"/>
          <w:szCs w:val="25"/>
        </w:rPr>
        <w:t>)</w:t>
      </w:r>
      <w:r w:rsidR="001C27F9" w:rsidRPr="001C27F9">
        <w:rPr>
          <w:rFonts w:ascii="Garamond" w:hAnsi="Garamond"/>
          <w:sz w:val="25"/>
          <w:szCs w:val="25"/>
        </w:rPr>
        <w:t>. So</w:t>
      </w:r>
      <w:r w:rsidR="00387BF2">
        <w:rPr>
          <w:rFonts w:ascii="Garamond" w:hAnsi="Garamond"/>
          <w:sz w:val="25"/>
          <w:szCs w:val="25"/>
        </w:rPr>
        <w:t>učasně se může blíže věnovat i tomu</w:t>
      </w:r>
      <w:r w:rsidR="001C27F9" w:rsidRPr="001C27F9">
        <w:rPr>
          <w:rFonts w:ascii="Garamond" w:hAnsi="Garamond"/>
          <w:sz w:val="25"/>
          <w:szCs w:val="25"/>
        </w:rPr>
        <w:t xml:space="preserve">, z jakého důvodu zvolila pro své srovnání </w:t>
      </w:r>
      <w:r w:rsidR="00387BF2">
        <w:rPr>
          <w:rFonts w:ascii="Garamond" w:hAnsi="Garamond"/>
          <w:sz w:val="25"/>
          <w:szCs w:val="25"/>
        </w:rPr>
        <w:t xml:space="preserve">právě </w:t>
      </w:r>
      <w:r w:rsidR="001C27F9" w:rsidRPr="001C27F9">
        <w:rPr>
          <w:rFonts w:ascii="Garamond" w:hAnsi="Garamond"/>
          <w:sz w:val="25"/>
          <w:szCs w:val="25"/>
        </w:rPr>
        <w:t>úpravu</w:t>
      </w:r>
      <w:r w:rsidR="00387BF2">
        <w:rPr>
          <w:rFonts w:ascii="Garamond" w:hAnsi="Garamond"/>
          <w:sz w:val="25"/>
          <w:szCs w:val="25"/>
        </w:rPr>
        <w:t xml:space="preserve"> v Anglii a Walesu, resp. vysvětlila (ne)přenositelnost</w:t>
      </w:r>
      <w:r w:rsidR="001C27F9" w:rsidRPr="001C27F9">
        <w:rPr>
          <w:rFonts w:ascii="Garamond" w:hAnsi="Garamond"/>
          <w:sz w:val="25"/>
          <w:szCs w:val="25"/>
        </w:rPr>
        <w:t xml:space="preserve"> zjištěných závěrů do našich podmínek.</w:t>
      </w:r>
    </w:p>
    <w:p w:rsidR="005F2E4F" w:rsidRPr="001C27F9" w:rsidRDefault="005F2E4F" w:rsidP="005F2E4F">
      <w:pPr>
        <w:spacing w:line="240" w:lineRule="auto"/>
        <w:jc w:val="both"/>
        <w:rPr>
          <w:rFonts w:ascii="Garamond" w:hAnsi="Garamond"/>
          <w:b/>
          <w:sz w:val="25"/>
          <w:szCs w:val="25"/>
        </w:rPr>
      </w:pPr>
    </w:p>
    <w:p w:rsidR="005F2E4F" w:rsidRPr="001C27F9" w:rsidRDefault="005F2E4F" w:rsidP="005F2E4F">
      <w:pPr>
        <w:spacing w:line="240" w:lineRule="auto"/>
        <w:jc w:val="both"/>
        <w:rPr>
          <w:rFonts w:ascii="Garamond" w:hAnsi="Garamond"/>
          <w:b/>
          <w:sz w:val="25"/>
          <w:szCs w:val="25"/>
        </w:rPr>
      </w:pPr>
      <w:r w:rsidRPr="001C27F9">
        <w:rPr>
          <w:rFonts w:ascii="Garamond" w:hAnsi="Garamond"/>
          <w:b/>
          <w:sz w:val="25"/>
          <w:szCs w:val="25"/>
        </w:rPr>
        <w:t>V Plzni dne 8. 1. 2020</w:t>
      </w:r>
    </w:p>
    <w:p w:rsidR="00387BF2" w:rsidRDefault="00387BF2" w:rsidP="00387BF2">
      <w:pPr>
        <w:spacing w:line="240" w:lineRule="auto"/>
        <w:rPr>
          <w:rFonts w:ascii="Garamond" w:hAnsi="Garamond"/>
          <w:b/>
          <w:sz w:val="25"/>
          <w:szCs w:val="25"/>
        </w:rPr>
      </w:pPr>
    </w:p>
    <w:p w:rsidR="005F2E4F" w:rsidRPr="001C27F9" w:rsidRDefault="00387BF2" w:rsidP="005F2E4F">
      <w:pPr>
        <w:spacing w:line="240" w:lineRule="auto"/>
        <w:ind w:left="4248" w:firstLine="708"/>
        <w:jc w:val="center"/>
        <w:rPr>
          <w:rFonts w:ascii="Garamond" w:hAnsi="Garamond"/>
          <w:b/>
          <w:sz w:val="25"/>
          <w:szCs w:val="25"/>
        </w:rPr>
      </w:pPr>
      <w:r>
        <w:rPr>
          <w:rFonts w:ascii="Garamond" w:hAnsi="Garamond"/>
          <w:b/>
          <w:sz w:val="25"/>
          <w:szCs w:val="25"/>
        </w:rPr>
        <w:t>M</w:t>
      </w:r>
      <w:r w:rsidR="005F2E4F" w:rsidRPr="001C27F9">
        <w:rPr>
          <w:rFonts w:ascii="Garamond" w:hAnsi="Garamond"/>
          <w:b/>
          <w:sz w:val="25"/>
          <w:szCs w:val="25"/>
        </w:rPr>
        <w:t>ilan Podhrázký</w:t>
      </w:r>
    </w:p>
    <w:p w:rsidR="001C76F6" w:rsidRPr="001C27F9" w:rsidRDefault="001C76F6">
      <w:pPr>
        <w:rPr>
          <w:sz w:val="25"/>
          <w:szCs w:val="25"/>
        </w:rPr>
      </w:pPr>
    </w:p>
    <w:sectPr w:rsidR="001C76F6" w:rsidRPr="001C27F9" w:rsidSect="001C7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C2781"/>
    <w:multiLevelType w:val="hybridMultilevel"/>
    <w:tmpl w:val="7B3ADE26"/>
    <w:lvl w:ilvl="0" w:tplc="7EBEB2B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2E4F"/>
    <w:rsid w:val="00001CE5"/>
    <w:rsid w:val="00005E5D"/>
    <w:rsid w:val="00006818"/>
    <w:rsid w:val="00020C37"/>
    <w:rsid w:val="00031656"/>
    <w:rsid w:val="00052BA8"/>
    <w:rsid w:val="000536A5"/>
    <w:rsid w:val="000562E4"/>
    <w:rsid w:val="00056AC2"/>
    <w:rsid w:val="00057D8A"/>
    <w:rsid w:val="00060B1F"/>
    <w:rsid w:val="00063403"/>
    <w:rsid w:val="00075355"/>
    <w:rsid w:val="000770DE"/>
    <w:rsid w:val="00077372"/>
    <w:rsid w:val="000822EF"/>
    <w:rsid w:val="000862E9"/>
    <w:rsid w:val="00086672"/>
    <w:rsid w:val="00094739"/>
    <w:rsid w:val="000B30FE"/>
    <w:rsid w:val="000B3CDD"/>
    <w:rsid w:val="000C0542"/>
    <w:rsid w:val="000C1191"/>
    <w:rsid w:val="000D3E0E"/>
    <w:rsid w:val="000E0B38"/>
    <w:rsid w:val="000E1716"/>
    <w:rsid w:val="00101DA0"/>
    <w:rsid w:val="00105EB4"/>
    <w:rsid w:val="001105B1"/>
    <w:rsid w:val="001143D5"/>
    <w:rsid w:val="0012517F"/>
    <w:rsid w:val="0012718A"/>
    <w:rsid w:val="0013645E"/>
    <w:rsid w:val="001423BA"/>
    <w:rsid w:val="001631CA"/>
    <w:rsid w:val="00166F58"/>
    <w:rsid w:val="0017051A"/>
    <w:rsid w:val="0018025D"/>
    <w:rsid w:val="00181FE4"/>
    <w:rsid w:val="0018281A"/>
    <w:rsid w:val="0018628A"/>
    <w:rsid w:val="001926BE"/>
    <w:rsid w:val="001A3FFF"/>
    <w:rsid w:val="001A5641"/>
    <w:rsid w:val="001A577D"/>
    <w:rsid w:val="001A7DB4"/>
    <w:rsid w:val="001B0B05"/>
    <w:rsid w:val="001B5670"/>
    <w:rsid w:val="001C10B9"/>
    <w:rsid w:val="001C27F9"/>
    <w:rsid w:val="001C33DD"/>
    <w:rsid w:val="001C76F6"/>
    <w:rsid w:val="001C7A1B"/>
    <w:rsid w:val="001D2226"/>
    <w:rsid w:val="001D343C"/>
    <w:rsid w:val="001E0895"/>
    <w:rsid w:val="001F521A"/>
    <w:rsid w:val="001F5CCC"/>
    <w:rsid w:val="00200288"/>
    <w:rsid w:val="00200DA0"/>
    <w:rsid w:val="00202FD0"/>
    <w:rsid w:val="002049B8"/>
    <w:rsid w:val="00224B7B"/>
    <w:rsid w:val="00231486"/>
    <w:rsid w:val="00232828"/>
    <w:rsid w:val="002356F2"/>
    <w:rsid w:val="00237A66"/>
    <w:rsid w:val="00240157"/>
    <w:rsid w:val="00245C2F"/>
    <w:rsid w:val="002469A2"/>
    <w:rsid w:val="00250496"/>
    <w:rsid w:val="002522EE"/>
    <w:rsid w:val="00256B64"/>
    <w:rsid w:val="002612D8"/>
    <w:rsid w:val="002616FB"/>
    <w:rsid w:val="00262F4B"/>
    <w:rsid w:val="00264548"/>
    <w:rsid w:val="00266359"/>
    <w:rsid w:val="00270F47"/>
    <w:rsid w:val="002815B7"/>
    <w:rsid w:val="002A0DA5"/>
    <w:rsid w:val="002A2AB6"/>
    <w:rsid w:val="002A6DB1"/>
    <w:rsid w:val="002D3324"/>
    <w:rsid w:val="002D764F"/>
    <w:rsid w:val="002D7D72"/>
    <w:rsid w:val="002E17CB"/>
    <w:rsid w:val="002E20D9"/>
    <w:rsid w:val="002E373B"/>
    <w:rsid w:val="002E46FE"/>
    <w:rsid w:val="002E501A"/>
    <w:rsid w:val="002E74C4"/>
    <w:rsid w:val="002F0642"/>
    <w:rsid w:val="003036DA"/>
    <w:rsid w:val="00311B48"/>
    <w:rsid w:val="0031417D"/>
    <w:rsid w:val="00314926"/>
    <w:rsid w:val="00314E75"/>
    <w:rsid w:val="00321D0B"/>
    <w:rsid w:val="00327E78"/>
    <w:rsid w:val="00330CC5"/>
    <w:rsid w:val="00337668"/>
    <w:rsid w:val="00344761"/>
    <w:rsid w:val="00350954"/>
    <w:rsid w:val="00351815"/>
    <w:rsid w:val="003543E1"/>
    <w:rsid w:val="0036325C"/>
    <w:rsid w:val="00364AD2"/>
    <w:rsid w:val="00383132"/>
    <w:rsid w:val="00387BF2"/>
    <w:rsid w:val="0039185B"/>
    <w:rsid w:val="00394B43"/>
    <w:rsid w:val="003959F3"/>
    <w:rsid w:val="003A3B71"/>
    <w:rsid w:val="003B2AFE"/>
    <w:rsid w:val="003B4458"/>
    <w:rsid w:val="003B4DBB"/>
    <w:rsid w:val="003C303F"/>
    <w:rsid w:val="003C5210"/>
    <w:rsid w:val="003C5C50"/>
    <w:rsid w:val="003D09FA"/>
    <w:rsid w:val="003E341D"/>
    <w:rsid w:val="003E3AAD"/>
    <w:rsid w:val="003E42B3"/>
    <w:rsid w:val="003E4E7E"/>
    <w:rsid w:val="003E52AE"/>
    <w:rsid w:val="003E6CF9"/>
    <w:rsid w:val="003F4736"/>
    <w:rsid w:val="003F4AD9"/>
    <w:rsid w:val="00400D26"/>
    <w:rsid w:val="004010FC"/>
    <w:rsid w:val="00410ED0"/>
    <w:rsid w:val="00410F58"/>
    <w:rsid w:val="00421885"/>
    <w:rsid w:val="00427221"/>
    <w:rsid w:val="004329C1"/>
    <w:rsid w:val="00434641"/>
    <w:rsid w:val="004448B2"/>
    <w:rsid w:val="00445ABA"/>
    <w:rsid w:val="0044782F"/>
    <w:rsid w:val="0046102A"/>
    <w:rsid w:val="004628C2"/>
    <w:rsid w:val="004648C9"/>
    <w:rsid w:val="004650F2"/>
    <w:rsid w:val="00465EB0"/>
    <w:rsid w:val="00467BC9"/>
    <w:rsid w:val="00476386"/>
    <w:rsid w:val="00477FA7"/>
    <w:rsid w:val="0048206D"/>
    <w:rsid w:val="00487BD0"/>
    <w:rsid w:val="004909F0"/>
    <w:rsid w:val="004A53C0"/>
    <w:rsid w:val="004B3C8F"/>
    <w:rsid w:val="004D209F"/>
    <w:rsid w:val="004D23A5"/>
    <w:rsid w:val="004D2D66"/>
    <w:rsid w:val="004D5D69"/>
    <w:rsid w:val="004E4D85"/>
    <w:rsid w:val="004E5D23"/>
    <w:rsid w:val="004F1421"/>
    <w:rsid w:val="00503740"/>
    <w:rsid w:val="0055038F"/>
    <w:rsid w:val="00551C21"/>
    <w:rsid w:val="00561D1C"/>
    <w:rsid w:val="005644C8"/>
    <w:rsid w:val="00566B47"/>
    <w:rsid w:val="005711CC"/>
    <w:rsid w:val="00581F8F"/>
    <w:rsid w:val="00594B0D"/>
    <w:rsid w:val="0059786E"/>
    <w:rsid w:val="00597AF8"/>
    <w:rsid w:val="005A2CB5"/>
    <w:rsid w:val="005A6718"/>
    <w:rsid w:val="005B2BDE"/>
    <w:rsid w:val="005B40BD"/>
    <w:rsid w:val="005C2B8D"/>
    <w:rsid w:val="005D5C6F"/>
    <w:rsid w:val="005E07D2"/>
    <w:rsid w:val="005F1FBA"/>
    <w:rsid w:val="005F2E4F"/>
    <w:rsid w:val="005F3869"/>
    <w:rsid w:val="005F6919"/>
    <w:rsid w:val="006024C4"/>
    <w:rsid w:val="006054EC"/>
    <w:rsid w:val="00605E4D"/>
    <w:rsid w:val="00605E81"/>
    <w:rsid w:val="006077F8"/>
    <w:rsid w:val="00610BB2"/>
    <w:rsid w:val="00615DB3"/>
    <w:rsid w:val="00626E3A"/>
    <w:rsid w:val="0063402C"/>
    <w:rsid w:val="006412F5"/>
    <w:rsid w:val="00642CC3"/>
    <w:rsid w:val="00652425"/>
    <w:rsid w:val="00657580"/>
    <w:rsid w:val="00664628"/>
    <w:rsid w:val="00664942"/>
    <w:rsid w:val="006800FD"/>
    <w:rsid w:val="0068401F"/>
    <w:rsid w:val="00695EA0"/>
    <w:rsid w:val="006A007E"/>
    <w:rsid w:val="006A5C92"/>
    <w:rsid w:val="006B26BF"/>
    <w:rsid w:val="006B3E06"/>
    <w:rsid w:val="006B59B2"/>
    <w:rsid w:val="006D02BC"/>
    <w:rsid w:val="006D1BF5"/>
    <w:rsid w:val="006D453B"/>
    <w:rsid w:val="006D5434"/>
    <w:rsid w:val="006D55B8"/>
    <w:rsid w:val="006E6B4B"/>
    <w:rsid w:val="006F710F"/>
    <w:rsid w:val="00701D62"/>
    <w:rsid w:val="007118F2"/>
    <w:rsid w:val="00716009"/>
    <w:rsid w:val="007222C9"/>
    <w:rsid w:val="0072312C"/>
    <w:rsid w:val="00723770"/>
    <w:rsid w:val="00743E25"/>
    <w:rsid w:val="00776222"/>
    <w:rsid w:val="0077648A"/>
    <w:rsid w:val="0078653F"/>
    <w:rsid w:val="00791C7B"/>
    <w:rsid w:val="007A2D1B"/>
    <w:rsid w:val="007C3F6D"/>
    <w:rsid w:val="007C558C"/>
    <w:rsid w:val="007C5B5F"/>
    <w:rsid w:val="007E2110"/>
    <w:rsid w:val="007E7BEC"/>
    <w:rsid w:val="008025B5"/>
    <w:rsid w:val="008029B6"/>
    <w:rsid w:val="008123B2"/>
    <w:rsid w:val="00814513"/>
    <w:rsid w:val="008145B3"/>
    <w:rsid w:val="0081731F"/>
    <w:rsid w:val="008200E6"/>
    <w:rsid w:val="00825731"/>
    <w:rsid w:val="00831C5E"/>
    <w:rsid w:val="00837AE9"/>
    <w:rsid w:val="00847388"/>
    <w:rsid w:val="00847739"/>
    <w:rsid w:val="00847C34"/>
    <w:rsid w:val="00850A74"/>
    <w:rsid w:val="00864684"/>
    <w:rsid w:val="00873D95"/>
    <w:rsid w:val="0088255F"/>
    <w:rsid w:val="00885406"/>
    <w:rsid w:val="0089045A"/>
    <w:rsid w:val="008907EC"/>
    <w:rsid w:val="008A302A"/>
    <w:rsid w:val="008B4739"/>
    <w:rsid w:val="008B6297"/>
    <w:rsid w:val="008C7C6E"/>
    <w:rsid w:val="008D2C7D"/>
    <w:rsid w:val="008E6A8C"/>
    <w:rsid w:val="00900FE2"/>
    <w:rsid w:val="009116E4"/>
    <w:rsid w:val="0093233B"/>
    <w:rsid w:val="00941D60"/>
    <w:rsid w:val="00951336"/>
    <w:rsid w:val="00961404"/>
    <w:rsid w:val="0096571A"/>
    <w:rsid w:val="00966C90"/>
    <w:rsid w:val="009718BC"/>
    <w:rsid w:val="0098253A"/>
    <w:rsid w:val="00992258"/>
    <w:rsid w:val="009A579B"/>
    <w:rsid w:val="009C1FC2"/>
    <w:rsid w:val="009D358B"/>
    <w:rsid w:val="009D6842"/>
    <w:rsid w:val="009E6AF7"/>
    <w:rsid w:val="009F0AE4"/>
    <w:rsid w:val="00A03898"/>
    <w:rsid w:val="00A0495A"/>
    <w:rsid w:val="00A23440"/>
    <w:rsid w:val="00A24AAD"/>
    <w:rsid w:val="00A43A12"/>
    <w:rsid w:val="00A744D6"/>
    <w:rsid w:val="00A755D1"/>
    <w:rsid w:val="00A75DAE"/>
    <w:rsid w:val="00A9120B"/>
    <w:rsid w:val="00A94AE1"/>
    <w:rsid w:val="00AA132C"/>
    <w:rsid w:val="00AA196F"/>
    <w:rsid w:val="00AA45E6"/>
    <w:rsid w:val="00AA4A42"/>
    <w:rsid w:val="00AB39C1"/>
    <w:rsid w:val="00AB446C"/>
    <w:rsid w:val="00AB7464"/>
    <w:rsid w:val="00AD045D"/>
    <w:rsid w:val="00AE2895"/>
    <w:rsid w:val="00AE3134"/>
    <w:rsid w:val="00AE3291"/>
    <w:rsid w:val="00AF472E"/>
    <w:rsid w:val="00B012D7"/>
    <w:rsid w:val="00B0302F"/>
    <w:rsid w:val="00B03894"/>
    <w:rsid w:val="00B046EA"/>
    <w:rsid w:val="00B10B19"/>
    <w:rsid w:val="00B20F77"/>
    <w:rsid w:val="00B21CF8"/>
    <w:rsid w:val="00B418F4"/>
    <w:rsid w:val="00B438D1"/>
    <w:rsid w:val="00B44F4B"/>
    <w:rsid w:val="00B61C97"/>
    <w:rsid w:val="00B84E4B"/>
    <w:rsid w:val="00B923BA"/>
    <w:rsid w:val="00B93FB0"/>
    <w:rsid w:val="00B96026"/>
    <w:rsid w:val="00BB2953"/>
    <w:rsid w:val="00BC10EA"/>
    <w:rsid w:val="00BD2CD5"/>
    <w:rsid w:val="00BD41CA"/>
    <w:rsid w:val="00BD5A5E"/>
    <w:rsid w:val="00C06FBA"/>
    <w:rsid w:val="00C06FC0"/>
    <w:rsid w:val="00C355B8"/>
    <w:rsid w:val="00C71DDC"/>
    <w:rsid w:val="00C74570"/>
    <w:rsid w:val="00C879F0"/>
    <w:rsid w:val="00CA6A5A"/>
    <w:rsid w:val="00CA6DD3"/>
    <w:rsid w:val="00CC32E0"/>
    <w:rsid w:val="00CC69D6"/>
    <w:rsid w:val="00CD48F8"/>
    <w:rsid w:val="00CE1349"/>
    <w:rsid w:val="00D068A9"/>
    <w:rsid w:val="00D17EC5"/>
    <w:rsid w:val="00D27C63"/>
    <w:rsid w:val="00D30FCF"/>
    <w:rsid w:val="00D37A72"/>
    <w:rsid w:val="00D4377B"/>
    <w:rsid w:val="00D57AD1"/>
    <w:rsid w:val="00D60C56"/>
    <w:rsid w:val="00D63C54"/>
    <w:rsid w:val="00D64C6E"/>
    <w:rsid w:val="00D6526D"/>
    <w:rsid w:val="00D73544"/>
    <w:rsid w:val="00D75B9A"/>
    <w:rsid w:val="00D8651F"/>
    <w:rsid w:val="00D875B3"/>
    <w:rsid w:val="00D93DCB"/>
    <w:rsid w:val="00D95402"/>
    <w:rsid w:val="00D95701"/>
    <w:rsid w:val="00DA1C95"/>
    <w:rsid w:val="00DA4AC9"/>
    <w:rsid w:val="00DB0203"/>
    <w:rsid w:val="00DC2672"/>
    <w:rsid w:val="00DF7AAD"/>
    <w:rsid w:val="00E1341D"/>
    <w:rsid w:val="00E27D45"/>
    <w:rsid w:val="00E30E00"/>
    <w:rsid w:val="00E3772F"/>
    <w:rsid w:val="00E434E6"/>
    <w:rsid w:val="00E44A9C"/>
    <w:rsid w:val="00E46A7C"/>
    <w:rsid w:val="00E5333E"/>
    <w:rsid w:val="00E55656"/>
    <w:rsid w:val="00E623F2"/>
    <w:rsid w:val="00E74685"/>
    <w:rsid w:val="00E7532F"/>
    <w:rsid w:val="00E758FE"/>
    <w:rsid w:val="00E80E06"/>
    <w:rsid w:val="00EA0EF2"/>
    <w:rsid w:val="00EA1B24"/>
    <w:rsid w:val="00EB0663"/>
    <w:rsid w:val="00EB46B6"/>
    <w:rsid w:val="00EC2312"/>
    <w:rsid w:val="00EC7103"/>
    <w:rsid w:val="00ED08F9"/>
    <w:rsid w:val="00ED6B8C"/>
    <w:rsid w:val="00EF1B4C"/>
    <w:rsid w:val="00EF26CA"/>
    <w:rsid w:val="00EF4155"/>
    <w:rsid w:val="00F05E7E"/>
    <w:rsid w:val="00F06EC5"/>
    <w:rsid w:val="00F204FA"/>
    <w:rsid w:val="00F20A63"/>
    <w:rsid w:val="00F20D46"/>
    <w:rsid w:val="00F23673"/>
    <w:rsid w:val="00F32C7D"/>
    <w:rsid w:val="00F4003C"/>
    <w:rsid w:val="00F41D07"/>
    <w:rsid w:val="00F54BFB"/>
    <w:rsid w:val="00F56BC2"/>
    <w:rsid w:val="00F61638"/>
    <w:rsid w:val="00F61D69"/>
    <w:rsid w:val="00F674B6"/>
    <w:rsid w:val="00F72C01"/>
    <w:rsid w:val="00F735F6"/>
    <w:rsid w:val="00F73B94"/>
    <w:rsid w:val="00F82095"/>
    <w:rsid w:val="00F83148"/>
    <w:rsid w:val="00F84D11"/>
    <w:rsid w:val="00F8714E"/>
    <w:rsid w:val="00F87CDD"/>
    <w:rsid w:val="00F90D48"/>
    <w:rsid w:val="00F91970"/>
    <w:rsid w:val="00F91D16"/>
    <w:rsid w:val="00F91D79"/>
    <w:rsid w:val="00F95F36"/>
    <w:rsid w:val="00F96CF9"/>
    <w:rsid w:val="00FC3EC9"/>
    <w:rsid w:val="00FC46ED"/>
    <w:rsid w:val="00FD15D1"/>
    <w:rsid w:val="00FD6E9A"/>
    <w:rsid w:val="00FD7EB1"/>
    <w:rsid w:val="00FE0B91"/>
    <w:rsid w:val="00FE7044"/>
    <w:rsid w:val="00FF255B"/>
    <w:rsid w:val="00FF56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E4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2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1103</Words>
  <Characters>6509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podhrazky</dc:creator>
  <cp:lastModifiedBy>podhrazky</cp:lastModifiedBy>
  <cp:revision>8</cp:revision>
  <cp:lastPrinted>2020-01-09T09:10:00Z</cp:lastPrinted>
  <dcterms:created xsi:type="dcterms:W3CDTF">2020-01-08T16:25:00Z</dcterms:created>
  <dcterms:modified xsi:type="dcterms:W3CDTF">2020-01-09T09:23:00Z</dcterms:modified>
</cp:coreProperties>
</file>