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66" w:rsidRPr="001A13A4" w:rsidRDefault="00D20866">
      <w:pPr>
        <w:rPr>
          <w:rFonts w:ascii="Times New Roman" w:hAnsi="Times New Roman" w:cs="Times New Roman"/>
          <w:sz w:val="18"/>
          <w:szCs w:val="18"/>
        </w:rPr>
      </w:pPr>
    </w:p>
    <w:p w:rsidR="00797714" w:rsidRPr="001A13A4" w:rsidRDefault="00797714">
      <w:pPr>
        <w:rPr>
          <w:rFonts w:ascii="Times New Roman" w:hAnsi="Times New Roman" w:cs="Times New Roman"/>
          <w:sz w:val="18"/>
          <w:szCs w:val="18"/>
        </w:rPr>
      </w:pPr>
    </w:p>
    <w:p w:rsidR="00797714" w:rsidRPr="001A13A4" w:rsidRDefault="00246EDF" w:rsidP="00797714">
      <w:pPr>
        <w:spacing w:after="0" w:line="240" w:lineRule="auto"/>
        <w:rPr>
          <w:rFonts w:ascii="Times New Roman" w:hAnsi="Times New Roman" w:cs="Times New Roman"/>
          <w:sz w:val="18"/>
          <w:szCs w:val="18"/>
          <w:lang w:val="en-US"/>
        </w:rPr>
      </w:pPr>
      <w:proofErr w:type="spellStart"/>
      <w:r>
        <w:rPr>
          <w:rFonts w:ascii="Times New Roman" w:hAnsi="Times New Roman" w:cs="Times New Roman"/>
          <w:b/>
          <w:sz w:val="32"/>
          <w:szCs w:val="32"/>
        </w:rPr>
        <w:t>Mezoekonomika</w:t>
      </w:r>
      <w:proofErr w:type="spellEnd"/>
    </w:p>
    <w:p w:rsidR="001A13A4" w:rsidRPr="001A13A4" w:rsidRDefault="001A13A4" w:rsidP="00797714">
      <w:pPr>
        <w:spacing w:after="0" w:line="240" w:lineRule="auto"/>
        <w:rPr>
          <w:rFonts w:ascii="Times New Roman" w:hAnsi="Times New Roman" w:cs="Times New Roman"/>
          <w:sz w:val="18"/>
          <w:szCs w:val="18"/>
          <w:lang w:val="en-US"/>
        </w:rPr>
      </w:pPr>
    </w:p>
    <w:p w:rsidR="001A13A4" w:rsidRDefault="00246EDF" w:rsidP="001A13A4">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PhDr. Čestmír </w:t>
      </w:r>
      <w:r w:rsidR="001A13A4" w:rsidRPr="001A13A4">
        <w:rPr>
          <w:rFonts w:ascii="Times New Roman" w:hAnsi="Times New Roman" w:cs="Times New Roman"/>
          <w:b/>
          <w:sz w:val="18"/>
          <w:szCs w:val="18"/>
        </w:rPr>
        <w:t>J</w:t>
      </w:r>
      <w:r>
        <w:rPr>
          <w:rFonts w:ascii="Times New Roman" w:hAnsi="Times New Roman" w:cs="Times New Roman"/>
          <w:b/>
          <w:sz w:val="18"/>
          <w:szCs w:val="18"/>
        </w:rPr>
        <w:t>arý</w:t>
      </w:r>
    </w:p>
    <w:p w:rsidR="00246EDF" w:rsidRPr="001A13A4" w:rsidRDefault="00246EDF" w:rsidP="001A13A4">
      <w:pPr>
        <w:spacing w:after="0" w:line="240" w:lineRule="auto"/>
        <w:jc w:val="both"/>
        <w:rPr>
          <w:rFonts w:ascii="Times New Roman" w:hAnsi="Times New Roman" w:cs="Times New Roman"/>
          <w:b/>
          <w:sz w:val="18"/>
          <w:szCs w:val="18"/>
        </w:rPr>
      </w:pPr>
    </w:p>
    <w:p w:rsidR="001A13A4" w:rsidRPr="001A13A4" w:rsidRDefault="001A13A4" w:rsidP="001A13A4">
      <w:pPr>
        <w:spacing w:after="0" w:line="240" w:lineRule="auto"/>
        <w:jc w:val="both"/>
        <w:rPr>
          <w:rFonts w:ascii="Times New Roman" w:hAnsi="Times New Roman" w:cs="Times New Roman"/>
          <w:sz w:val="18"/>
          <w:szCs w:val="18"/>
        </w:rPr>
      </w:pPr>
      <w:r w:rsidRPr="001A13A4">
        <w:rPr>
          <w:rFonts w:ascii="Times New Roman" w:hAnsi="Times New Roman" w:cs="Times New Roman"/>
          <w:sz w:val="18"/>
          <w:szCs w:val="18"/>
          <w:vertAlign w:val="superscript"/>
        </w:rPr>
        <w:t>1</w:t>
      </w:r>
      <w:r w:rsidRPr="001A13A4">
        <w:rPr>
          <w:rFonts w:ascii="Times New Roman" w:hAnsi="Times New Roman" w:cs="Times New Roman"/>
          <w:sz w:val="18"/>
          <w:szCs w:val="18"/>
        </w:rPr>
        <w:t xml:space="preserve"> </w:t>
      </w:r>
      <w:r w:rsidR="00246EDF">
        <w:rPr>
          <w:rFonts w:ascii="Times New Roman" w:hAnsi="Times New Roman" w:cs="Times New Roman"/>
          <w:sz w:val="18"/>
          <w:szCs w:val="18"/>
        </w:rPr>
        <w:t>Západočeská univerzita</w:t>
      </w:r>
      <w:r w:rsidRPr="001A13A4">
        <w:rPr>
          <w:rFonts w:ascii="Times New Roman" w:hAnsi="Times New Roman" w:cs="Times New Roman"/>
          <w:sz w:val="18"/>
          <w:szCs w:val="18"/>
        </w:rPr>
        <w:t xml:space="preserve">; </w:t>
      </w:r>
      <w:r w:rsidR="00246EDF">
        <w:rPr>
          <w:rFonts w:ascii="Times New Roman" w:hAnsi="Times New Roman" w:cs="Times New Roman"/>
          <w:sz w:val="18"/>
          <w:szCs w:val="18"/>
        </w:rPr>
        <w:t>Univerzitní 22 Plzeň; jary@kem.zcu.cz</w:t>
      </w:r>
    </w:p>
    <w:p w:rsidR="001A13A4" w:rsidRPr="001A13A4" w:rsidRDefault="001A13A4" w:rsidP="001A13A4">
      <w:pPr>
        <w:spacing w:after="0" w:line="240" w:lineRule="auto"/>
        <w:jc w:val="both"/>
        <w:rPr>
          <w:rFonts w:ascii="Times New Roman" w:hAnsi="Times New Roman" w:cs="Times New Roman"/>
          <w:sz w:val="18"/>
          <w:szCs w:val="18"/>
        </w:rPr>
      </w:pPr>
    </w:p>
    <w:p w:rsidR="001A13A4" w:rsidRPr="001A13A4" w:rsidRDefault="001A13A4" w:rsidP="001A13A4">
      <w:pPr>
        <w:spacing w:after="0" w:line="240" w:lineRule="auto"/>
        <w:jc w:val="both"/>
        <w:rPr>
          <w:rFonts w:ascii="Times New Roman" w:hAnsi="Times New Roman" w:cs="Times New Roman"/>
          <w:sz w:val="18"/>
          <w:szCs w:val="18"/>
        </w:rPr>
      </w:pPr>
      <w:r w:rsidRPr="001A13A4">
        <w:rPr>
          <w:rFonts w:ascii="Times New Roman" w:hAnsi="Times New Roman" w:cs="Times New Roman"/>
          <w:sz w:val="18"/>
          <w:szCs w:val="18"/>
        </w:rPr>
        <w:t xml:space="preserve">Grant: </w:t>
      </w:r>
      <w:r w:rsidR="008F597B" w:rsidRPr="008F597B">
        <w:rPr>
          <w:rFonts w:ascii="Times New Roman" w:hAnsi="Times New Roman" w:cs="Times New Roman"/>
          <w:sz w:val="18"/>
          <w:szCs w:val="18"/>
        </w:rPr>
        <w:t>SGS-2018-042</w:t>
      </w:r>
      <w:r w:rsidR="008F597B">
        <w:rPr>
          <w:i/>
          <w:iCs/>
        </w:rPr>
        <w:t xml:space="preserve"> </w:t>
      </w:r>
    </w:p>
    <w:p w:rsidR="001A13A4" w:rsidRPr="001A13A4" w:rsidRDefault="001A13A4" w:rsidP="001A13A4">
      <w:pPr>
        <w:spacing w:after="0" w:line="240" w:lineRule="auto"/>
        <w:jc w:val="both"/>
        <w:rPr>
          <w:rFonts w:ascii="Times New Roman" w:hAnsi="Times New Roman" w:cs="Times New Roman"/>
          <w:sz w:val="18"/>
          <w:szCs w:val="18"/>
        </w:rPr>
      </w:pPr>
      <w:r w:rsidRPr="001A13A4">
        <w:rPr>
          <w:rFonts w:ascii="Times New Roman" w:hAnsi="Times New Roman" w:cs="Times New Roman"/>
          <w:sz w:val="18"/>
          <w:szCs w:val="18"/>
        </w:rPr>
        <w:t xml:space="preserve">Název grantu: </w:t>
      </w:r>
      <w:hyperlink r:id="rId9" w:history="1">
        <w:r w:rsidR="008F597B" w:rsidRPr="008F597B">
          <w:rPr>
            <w:rFonts w:ascii="Times New Roman" w:hAnsi="Times New Roman" w:cs="Times New Roman"/>
            <w:sz w:val="18"/>
            <w:szCs w:val="18"/>
          </w:rPr>
          <w:t>Aplikace kvantitativních metod v ekonomii</w:t>
        </w:r>
      </w:hyperlink>
      <w:r w:rsidR="008F597B">
        <w:t xml:space="preserve">  </w:t>
      </w:r>
    </w:p>
    <w:p w:rsidR="001A13A4" w:rsidRDefault="00E93435" w:rsidP="001A13A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Obor</w:t>
      </w:r>
      <w:r w:rsidR="004A1742">
        <w:rPr>
          <w:rFonts w:ascii="Times New Roman" w:hAnsi="Times New Roman" w:cs="Times New Roman"/>
          <w:sz w:val="18"/>
          <w:szCs w:val="18"/>
        </w:rPr>
        <w:t>ové zaměření: AH-Ekonomie</w:t>
      </w:r>
    </w:p>
    <w:p w:rsidR="00E93435" w:rsidRPr="001A13A4" w:rsidRDefault="00E93435" w:rsidP="001A13A4">
      <w:pPr>
        <w:spacing w:after="0" w:line="240" w:lineRule="auto"/>
        <w:jc w:val="both"/>
        <w:rPr>
          <w:rFonts w:ascii="Times New Roman" w:hAnsi="Times New Roman" w:cs="Times New Roman"/>
          <w:sz w:val="18"/>
          <w:szCs w:val="18"/>
        </w:rPr>
      </w:pPr>
    </w:p>
    <w:p w:rsidR="001A13A4" w:rsidRPr="001A13A4" w:rsidRDefault="001A13A4" w:rsidP="001A13A4">
      <w:pPr>
        <w:spacing w:after="0" w:line="240" w:lineRule="auto"/>
        <w:jc w:val="both"/>
        <w:rPr>
          <w:rFonts w:ascii="Times New Roman" w:hAnsi="Times New Roman" w:cs="Times New Roman"/>
          <w:sz w:val="14"/>
          <w:szCs w:val="14"/>
        </w:rPr>
      </w:pPr>
      <w:r w:rsidRPr="001A13A4">
        <w:rPr>
          <w:rFonts w:ascii="Times New Roman" w:hAnsi="Times New Roman" w:cs="Times New Roman"/>
          <w:sz w:val="14"/>
          <w:szCs w:val="14"/>
        </w:rPr>
        <w:t xml:space="preserve">© </w:t>
      </w:r>
      <w:r w:rsidR="00122F6B">
        <w:rPr>
          <w:rFonts w:ascii="Times New Roman" w:hAnsi="Times New Roman" w:cs="Times New Roman"/>
          <w:sz w:val="14"/>
          <w:szCs w:val="14"/>
        </w:rPr>
        <w:t xml:space="preserve">GRANT </w:t>
      </w:r>
      <w:proofErr w:type="spellStart"/>
      <w:r w:rsidR="00122F6B">
        <w:rPr>
          <w:rFonts w:ascii="Times New Roman" w:hAnsi="Times New Roman" w:cs="Times New Roman"/>
          <w:sz w:val="14"/>
          <w:szCs w:val="14"/>
        </w:rPr>
        <w:t>Journal</w:t>
      </w:r>
      <w:proofErr w:type="spellEnd"/>
      <w:r w:rsidR="00122F6B">
        <w:rPr>
          <w:rFonts w:ascii="Times New Roman" w:hAnsi="Times New Roman" w:cs="Times New Roman"/>
          <w:sz w:val="14"/>
          <w:szCs w:val="14"/>
        </w:rPr>
        <w:t xml:space="preserve">, MAGNANIMITAS </w:t>
      </w:r>
      <w:proofErr w:type="spellStart"/>
      <w:r w:rsidR="00122F6B">
        <w:rPr>
          <w:rFonts w:ascii="Times New Roman" w:hAnsi="Times New Roman" w:cs="Times New Roman"/>
          <w:sz w:val="14"/>
          <w:szCs w:val="14"/>
        </w:rPr>
        <w:t>Assn</w:t>
      </w:r>
      <w:proofErr w:type="spellEnd"/>
      <w:r w:rsidR="00122F6B">
        <w:rPr>
          <w:rFonts w:ascii="Times New Roman" w:hAnsi="Times New Roman" w:cs="Times New Roman"/>
          <w:sz w:val="14"/>
          <w:szCs w:val="14"/>
        </w:rPr>
        <w:t>.</w:t>
      </w:r>
    </w:p>
    <w:p w:rsidR="00797714" w:rsidRPr="001A13A4" w:rsidRDefault="00797714" w:rsidP="00797714">
      <w:pPr>
        <w:spacing w:after="0" w:line="240" w:lineRule="auto"/>
        <w:rPr>
          <w:rFonts w:ascii="Times New Roman" w:hAnsi="Times New Roman" w:cs="Times New Roman"/>
          <w:sz w:val="18"/>
          <w:szCs w:val="18"/>
          <w:lang w:val="en-US"/>
        </w:rPr>
      </w:pPr>
    </w:p>
    <w:p w:rsidR="00797714" w:rsidRPr="001A13A4" w:rsidRDefault="00797714" w:rsidP="00797714">
      <w:pPr>
        <w:spacing w:after="0" w:line="240" w:lineRule="auto"/>
        <w:rPr>
          <w:rFonts w:ascii="Times New Roman" w:hAnsi="Times New Roman" w:cs="Times New Roman"/>
          <w:sz w:val="18"/>
          <w:szCs w:val="18"/>
        </w:rPr>
      </w:pPr>
    </w:p>
    <w:p w:rsidR="00797714" w:rsidRDefault="00797714" w:rsidP="00797714">
      <w:pPr>
        <w:spacing w:after="0" w:line="240" w:lineRule="auto"/>
        <w:jc w:val="both"/>
        <w:rPr>
          <w:rFonts w:ascii="Times New Roman" w:hAnsi="Times New Roman" w:cs="Times New Roman"/>
          <w:sz w:val="18"/>
          <w:szCs w:val="18"/>
        </w:rPr>
        <w:sectPr w:rsidR="00797714" w:rsidSect="00320C11">
          <w:headerReference w:type="default" r:id="rId10"/>
          <w:footerReference w:type="default" r:id="rId11"/>
          <w:type w:val="continuous"/>
          <w:pgSz w:w="11906" w:h="16838"/>
          <w:pgMar w:top="777" w:right="851" w:bottom="1276" w:left="851" w:header="709" w:footer="806" w:gutter="0"/>
          <w:cols w:space="282"/>
          <w:docGrid w:linePitch="360"/>
        </w:sectPr>
      </w:pPr>
    </w:p>
    <w:p w:rsidR="00797714" w:rsidRPr="004A1742" w:rsidRDefault="00797714" w:rsidP="004A1742">
      <w:pPr>
        <w:pStyle w:val="Abstrakt-text"/>
        <w:spacing w:after="120"/>
      </w:pPr>
      <w:r w:rsidRPr="001A13A4">
        <w:rPr>
          <w:b/>
          <w:sz w:val="18"/>
          <w:szCs w:val="18"/>
        </w:rPr>
        <w:lastRenderedPageBreak/>
        <w:t>Abstrakt</w:t>
      </w:r>
      <w:r w:rsidRPr="00797714">
        <w:rPr>
          <w:sz w:val="18"/>
          <w:szCs w:val="18"/>
        </w:rPr>
        <w:t xml:space="preserve"> </w:t>
      </w:r>
      <w:r w:rsidR="004A1742" w:rsidRPr="004A1742">
        <w:rPr>
          <w:rFonts w:eastAsiaTheme="minorHAnsi"/>
          <w:sz w:val="18"/>
          <w:szCs w:val="18"/>
          <w:lang w:eastAsia="en-US"/>
        </w:rPr>
        <w:t xml:space="preserve">Ekonomický vývoj od průmyslové revoluce vytvořil prostředí mikro a makro sféry. Globalizace ale doplnila tuto strukturu ještě o </w:t>
      </w:r>
      <w:proofErr w:type="spellStart"/>
      <w:r w:rsidR="004A1742" w:rsidRPr="004A1742">
        <w:rPr>
          <w:rFonts w:eastAsiaTheme="minorHAnsi"/>
          <w:sz w:val="18"/>
          <w:szCs w:val="18"/>
          <w:lang w:eastAsia="en-US"/>
        </w:rPr>
        <w:t>mezoekonomiku</w:t>
      </w:r>
      <w:proofErr w:type="spellEnd"/>
      <w:r w:rsidR="004A1742" w:rsidRPr="004A1742">
        <w:rPr>
          <w:rFonts w:eastAsiaTheme="minorHAnsi"/>
          <w:sz w:val="18"/>
          <w:szCs w:val="18"/>
          <w:lang w:eastAsia="en-US"/>
        </w:rPr>
        <w:t>. Současnost ukazuje, že národní ekonomika je závislá na několika málo velkých firem, které vytvářejí rozhodující část hrubého národního produktu. To však vede k posilování jejich síly na trhu, kterou však mohou přetransformovat i do politického vlivu. Většinou se jedná o nadnárodní společnosti, ale existují i výjimky v podobě čistě národních firem. Příkladem je např. Agrofert. Stať si klade za cíl charakterizovat tuto strukturu a ilustrovat daný problém na české ekonomice.</w:t>
      </w:r>
      <w:r w:rsidR="004A1742">
        <w:t xml:space="preserve"> </w:t>
      </w:r>
    </w:p>
    <w:p w:rsidR="00797714" w:rsidRPr="00797714" w:rsidRDefault="00797714" w:rsidP="00797714">
      <w:pPr>
        <w:spacing w:after="0" w:line="240" w:lineRule="auto"/>
        <w:jc w:val="both"/>
        <w:rPr>
          <w:rFonts w:ascii="Times New Roman" w:hAnsi="Times New Roman" w:cs="Times New Roman"/>
          <w:sz w:val="18"/>
          <w:szCs w:val="18"/>
        </w:rPr>
      </w:pPr>
      <w:r w:rsidRPr="001A13A4">
        <w:rPr>
          <w:rFonts w:ascii="Times New Roman" w:hAnsi="Times New Roman" w:cs="Times New Roman"/>
          <w:b/>
          <w:sz w:val="18"/>
          <w:szCs w:val="18"/>
        </w:rPr>
        <w:t>Klíčová slova</w:t>
      </w:r>
      <w:r w:rsidRPr="00797714">
        <w:rPr>
          <w:rFonts w:ascii="Times New Roman" w:hAnsi="Times New Roman" w:cs="Times New Roman"/>
          <w:sz w:val="18"/>
          <w:szCs w:val="18"/>
        </w:rPr>
        <w:t xml:space="preserve"> </w:t>
      </w:r>
      <w:proofErr w:type="spellStart"/>
      <w:r w:rsidR="004A1742" w:rsidRPr="004A1742">
        <w:rPr>
          <w:rFonts w:ascii="Times New Roman" w:hAnsi="Times New Roman" w:cs="Times New Roman"/>
          <w:sz w:val="18"/>
          <w:szCs w:val="18"/>
        </w:rPr>
        <w:t>mezoekonomika</w:t>
      </w:r>
      <w:proofErr w:type="spellEnd"/>
      <w:r w:rsidR="004A1742" w:rsidRPr="004A1742">
        <w:rPr>
          <w:rFonts w:ascii="Times New Roman" w:hAnsi="Times New Roman" w:cs="Times New Roman"/>
          <w:sz w:val="18"/>
          <w:szCs w:val="18"/>
        </w:rPr>
        <w:t>, mikrosféra, makrosféra, transnacionální monopoly, ekonomická struktura</w:t>
      </w:r>
      <w:r w:rsidR="004A1742" w:rsidRPr="00797714">
        <w:rPr>
          <w:rFonts w:ascii="Times New Roman" w:hAnsi="Times New Roman" w:cs="Times New Roman"/>
          <w:sz w:val="18"/>
          <w:szCs w:val="18"/>
        </w:rPr>
        <w:t xml:space="preserve"> </w:t>
      </w:r>
    </w:p>
    <w:p w:rsidR="00797714" w:rsidRDefault="00797714" w:rsidP="005F4E1C">
      <w:pPr>
        <w:pBdr>
          <w:bottom w:val="single" w:sz="2" w:space="1" w:color="0066A8"/>
        </w:pBdr>
        <w:spacing w:after="0" w:line="240" w:lineRule="auto"/>
        <w:jc w:val="both"/>
        <w:rPr>
          <w:rFonts w:ascii="Times New Roman" w:hAnsi="Times New Roman" w:cs="Times New Roman"/>
          <w:sz w:val="18"/>
          <w:szCs w:val="18"/>
        </w:rPr>
      </w:pPr>
    </w:p>
    <w:p w:rsidR="00320C11" w:rsidRDefault="00320C11" w:rsidP="00797714">
      <w:pPr>
        <w:spacing w:after="0" w:line="240" w:lineRule="auto"/>
        <w:jc w:val="both"/>
        <w:rPr>
          <w:rFonts w:ascii="Times New Roman" w:hAnsi="Times New Roman" w:cs="Times New Roman"/>
          <w:sz w:val="18"/>
          <w:szCs w:val="18"/>
        </w:rPr>
      </w:pPr>
    </w:p>
    <w:p w:rsidR="00E93435" w:rsidRPr="00797714" w:rsidRDefault="00E93435" w:rsidP="00797714">
      <w:pPr>
        <w:spacing w:after="0" w:line="240" w:lineRule="auto"/>
        <w:jc w:val="both"/>
        <w:rPr>
          <w:rFonts w:ascii="Times New Roman" w:hAnsi="Times New Roman" w:cs="Times New Roman"/>
          <w:sz w:val="18"/>
          <w:szCs w:val="18"/>
        </w:rPr>
      </w:pPr>
    </w:p>
    <w:p w:rsidR="00797714" w:rsidRPr="00320C11" w:rsidRDefault="004A1742" w:rsidP="00320C11">
      <w:pPr>
        <w:pStyle w:val="Odstavecseseznamem"/>
        <w:numPr>
          <w:ilvl w:val="0"/>
          <w:numId w:val="6"/>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ÚVOD </w:t>
      </w:r>
    </w:p>
    <w:p w:rsidR="00797714" w:rsidRPr="00797714" w:rsidRDefault="00797714" w:rsidP="00797714">
      <w:pPr>
        <w:spacing w:after="0" w:line="240" w:lineRule="auto"/>
        <w:jc w:val="both"/>
        <w:rPr>
          <w:rFonts w:ascii="Times New Roman" w:hAnsi="Times New Roman" w:cs="Times New Roman"/>
          <w:sz w:val="18"/>
          <w:szCs w:val="18"/>
        </w:rPr>
      </w:pPr>
    </w:p>
    <w:p w:rsidR="004A1742" w:rsidRPr="00F609B3" w:rsidRDefault="004A1742" w:rsidP="00F609B3">
      <w:pPr>
        <w:spacing w:after="0" w:line="240" w:lineRule="auto"/>
        <w:jc w:val="both"/>
        <w:rPr>
          <w:rFonts w:ascii="Times New Roman" w:eastAsiaTheme="minorHAnsi" w:hAnsi="Times New Roman" w:cs="Times New Roman"/>
          <w:sz w:val="18"/>
          <w:szCs w:val="18"/>
          <w:lang w:eastAsia="en-US"/>
        </w:rPr>
      </w:pPr>
      <w:r w:rsidRPr="00F609B3">
        <w:rPr>
          <w:rFonts w:ascii="Times New Roman" w:eastAsiaTheme="minorHAnsi" w:hAnsi="Times New Roman" w:cs="Times New Roman"/>
          <w:sz w:val="18"/>
          <w:szCs w:val="18"/>
          <w:lang w:eastAsia="en-US"/>
        </w:rPr>
        <w:t xml:space="preserve">Již od období průmyslové revoluce na přelomu 18. a 19. století se potupně vyvíjí struktura jednotlivých ekonomik z pohledu velikosti firem. Od relativně homogenní struktury, kdy velikost většiny podniků byla relativně stejná, tak v období </w:t>
      </w:r>
      <w:proofErr w:type="spellStart"/>
      <w:r w:rsidRPr="00F609B3">
        <w:rPr>
          <w:rFonts w:ascii="Times New Roman" w:eastAsiaTheme="minorHAnsi" w:hAnsi="Times New Roman" w:cs="Times New Roman"/>
          <w:sz w:val="18"/>
          <w:szCs w:val="18"/>
          <w:lang w:eastAsia="en-US"/>
        </w:rPr>
        <w:t>technicko</w:t>
      </w:r>
      <w:proofErr w:type="spellEnd"/>
      <w:r w:rsidRPr="00F609B3">
        <w:rPr>
          <w:rFonts w:ascii="Times New Roman" w:eastAsiaTheme="minorHAnsi" w:hAnsi="Times New Roman" w:cs="Times New Roman"/>
          <w:sz w:val="18"/>
          <w:szCs w:val="18"/>
          <w:lang w:eastAsia="en-US"/>
        </w:rPr>
        <w:t xml:space="preserve"> - vědecké revoluce dochází k zásadní diverzifikaci na velké v postavení monopolů a drobné podřizující subjekty. Tento trend zesílil v současném období globalizace. Na jednu stranu vytvoření relativně jednotného světového trhu prohloubilo konkurenční prostředí tím, že dochází ke střetu firem z různých regionů. Na druhou stranu toto prostředí umožňuje posilování ekonomické síly velkých firem. V jednotlivých národních ekonomikách se vytváří specifická relativně málopočetná skupina velkých firem, která má zásadní vliv na makroekonomiku. Tu pak nazveme </w:t>
      </w:r>
      <w:proofErr w:type="spellStart"/>
      <w:r w:rsidRPr="00F609B3">
        <w:rPr>
          <w:rFonts w:ascii="Times New Roman" w:eastAsiaTheme="minorHAnsi" w:hAnsi="Times New Roman" w:cs="Times New Roman"/>
          <w:sz w:val="18"/>
          <w:szCs w:val="18"/>
          <w:lang w:eastAsia="en-US"/>
        </w:rPr>
        <w:t>mezoekonomikou</w:t>
      </w:r>
      <w:proofErr w:type="spellEnd"/>
      <w:r w:rsidRPr="00F609B3">
        <w:rPr>
          <w:rFonts w:ascii="Times New Roman" w:eastAsiaTheme="minorHAnsi" w:hAnsi="Times New Roman" w:cs="Times New Roman"/>
          <w:sz w:val="18"/>
          <w:szCs w:val="18"/>
          <w:lang w:eastAsia="en-US"/>
        </w:rPr>
        <w:t xml:space="preserve">. Stať si klade za cíl popsat tento pohled a ilustrovat na příkladu české ekonomiky. </w:t>
      </w:r>
    </w:p>
    <w:p w:rsidR="00797714" w:rsidRPr="00797714" w:rsidRDefault="00797714" w:rsidP="00797714">
      <w:pPr>
        <w:spacing w:after="0" w:line="240" w:lineRule="auto"/>
        <w:jc w:val="both"/>
        <w:rPr>
          <w:rFonts w:ascii="Times New Roman" w:hAnsi="Times New Roman" w:cs="Times New Roman"/>
          <w:sz w:val="18"/>
          <w:szCs w:val="18"/>
        </w:rPr>
      </w:pPr>
    </w:p>
    <w:p w:rsidR="001A13A4" w:rsidRPr="007235EB" w:rsidRDefault="004A1742" w:rsidP="001A13A4">
      <w:pPr>
        <w:pStyle w:val="Odstavecseseznamem"/>
        <w:numPr>
          <w:ilvl w:val="0"/>
          <w:numId w:val="6"/>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ZÁKLADNÍ POHLEDY NA STRUKTURU EKONOMIKY</w:t>
      </w:r>
    </w:p>
    <w:p w:rsidR="00E93435" w:rsidRDefault="00E93435" w:rsidP="001A13A4">
      <w:pPr>
        <w:spacing w:after="0" w:line="240" w:lineRule="auto"/>
        <w:jc w:val="both"/>
        <w:rPr>
          <w:rFonts w:ascii="Times New Roman" w:hAnsi="Times New Roman" w:cs="Times New Roman"/>
          <w:sz w:val="18"/>
          <w:szCs w:val="18"/>
        </w:rPr>
      </w:pPr>
    </w:p>
    <w:p w:rsidR="00E93435" w:rsidRPr="005F4E1C" w:rsidRDefault="004A1742" w:rsidP="004A1742">
      <w:pPr>
        <w:pStyle w:val="Odstavecseseznamem"/>
        <w:numPr>
          <w:ilvl w:val="1"/>
          <w:numId w:val="6"/>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Tradiční pohled</w:t>
      </w:r>
      <w:r w:rsidR="00F609B3">
        <w:rPr>
          <w:rFonts w:ascii="Times New Roman" w:hAnsi="Times New Roman" w:cs="Times New Roman"/>
          <w:b/>
          <w:sz w:val="18"/>
          <w:szCs w:val="18"/>
        </w:rPr>
        <w:t xml:space="preserve"> </w:t>
      </w:r>
    </w:p>
    <w:p w:rsidR="00E93435" w:rsidRPr="00797714" w:rsidRDefault="00E93435" w:rsidP="001A13A4">
      <w:pPr>
        <w:spacing w:after="0" w:line="240" w:lineRule="auto"/>
        <w:jc w:val="both"/>
        <w:rPr>
          <w:rFonts w:ascii="Times New Roman" w:hAnsi="Times New Roman" w:cs="Times New Roman"/>
          <w:sz w:val="18"/>
          <w:szCs w:val="18"/>
        </w:rPr>
      </w:pPr>
    </w:p>
    <w:p w:rsidR="00F609B3" w:rsidRDefault="00F609B3" w:rsidP="00F609B3">
      <w:pPr>
        <w:spacing w:after="0" w:line="240" w:lineRule="auto"/>
        <w:jc w:val="both"/>
        <w:rPr>
          <w:rFonts w:ascii="Times New Roman" w:hAnsi="Times New Roman" w:cs="Times New Roman"/>
          <w:sz w:val="18"/>
          <w:szCs w:val="18"/>
        </w:rPr>
      </w:pPr>
      <w:r w:rsidRPr="00F609B3">
        <w:rPr>
          <w:rFonts w:ascii="Times New Roman" w:hAnsi="Times New Roman" w:cs="Times New Roman"/>
          <w:sz w:val="18"/>
          <w:szCs w:val="18"/>
        </w:rPr>
        <w:t xml:space="preserve">Obecná ekonomická teorie již z dob Adama </w:t>
      </w:r>
      <w:proofErr w:type="spellStart"/>
      <w:r w:rsidRPr="00F609B3">
        <w:rPr>
          <w:rFonts w:ascii="Times New Roman" w:hAnsi="Times New Roman" w:cs="Times New Roman"/>
          <w:sz w:val="18"/>
          <w:szCs w:val="18"/>
        </w:rPr>
        <w:t>Smitha</w:t>
      </w:r>
      <w:proofErr w:type="spellEnd"/>
      <w:r w:rsidRPr="00F609B3">
        <w:rPr>
          <w:rFonts w:ascii="Times New Roman" w:hAnsi="Times New Roman" w:cs="Times New Roman"/>
          <w:sz w:val="18"/>
          <w:szCs w:val="18"/>
        </w:rPr>
        <w:t xml:space="preserve"> rozlišovala přístup mikroekonomický a makroekonomický. Jedním z vrcholů mikroekonomického pohledu se považuje přístup britského ekonoma Alfreda </w:t>
      </w:r>
      <w:proofErr w:type="spellStart"/>
      <w:r w:rsidRPr="00F609B3">
        <w:rPr>
          <w:rFonts w:ascii="Times New Roman" w:hAnsi="Times New Roman" w:cs="Times New Roman"/>
          <w:sz w:val="18"/>
          <w:szCs w:val="18"/>
        </w:rPr>
        <w:t>Marshalla</w:t>
      </w:r>
      <w:proofErr w:type="spellEnd"/>
      <w:r w:rsidRPr="00F609B3">
        <w:rPr>
          <w:rFonts w:ascii="Times New Roman" w:hAnsi="Times New Roman" w:cs="Times New Roman"/>
          <w:sz w:val="18"/>
          <w:szCs w:val="18"/>
        </w:rPr>
        <w:t xml:space="preserve"> (1890) se svým dílem </w:t>
      </w:r>
      <w:proofErr w:type="spellStart"/>
      <w:r w:rsidRPr="00F609B3">
        <w:rPr>
          <w:rFonts w:ascii="Times New Roman" w:hAnsi="Times New Roman" w:cs="Times New Roman"/>
          <w:sz w:val="18"/>
          <w:szCs w:val="18"/>
        </w:rPr>
        <w:t>Principles</w:t>
      </w:r>
      <w:proofErr w:type="spellEnd"/>
      <w:r w:rsidRPr="00F609B3">
        <w:rPr>
          <w:rFonts w:ascii="Times New Roman" w:hAnsi="Times New Roman" w:cs="Times New Roman"/>
          <w:sz w:val="18"/>
          <w:szCs w:val="18"/>
        </w:rPr>
        <w:t xml:space="preserve"> </w:t>
      </w:r>
      <w:proofErr w:type="spellStart"/>
      <w:r w:rsidRPr="00F609B3">
        <w:rPr>
          <w:rFonts w:ascii="Times New Roman" w:hAnsi="Times New Roman" w:cs="Times New Roman"/>
          <w:sz w:val="18"/>
          <w:szCs w:val="18"/>
        </w:rPr>
        <w:t>of</w:t>
      </w:r>
      <w:proofErr w:type="spellEnd"/>
      <w:r w:rsidRPr="00F609B3">
        <w:rPr>
          <w:rFonts w:ascii="Times New Roman" w:hAnsi="Times New Roman" w:cs="Times New Roman"/>
          <w:sz w:val="18"/>
          <w:szCs w:val="18"/>
        </w:rPr>
        <w:t xml:space="preserve"> </w:t>
      </w:r>
      <w:proofErr w:type="spellStart"/>
      <w:r w:rsidRPr="00F609B3">
        <w:rPr>
          <w:rFonts w:ascii="Times New Roman" w:hAnsi="Times New Roman" w:cs="Times New Roman"/>
          <w:sz w:val="18"/>
          <w:szCs w:val="18"/>
        </w:rPr>
        <w:t>Economics</w:t>
      </w:r>
      <w:proofErr w:type="spellEnd"/>
      <w:r w:rsidRPr="00F609B3">
        <w:rPr>
          <w:rFonts w:ascii="Times New Roman" w:hAnsi="Times New Roman" w:cs="Times New Roman"/>
          <w:sz w:val="18"/>
          <w:szCs w:val="18"/>
        </w:rPr>
        <w:t xml:space="preserve">. Zaměřuje se na chování jednotlivců, firem a států na trhu a vysvětluje základy nabídky, poptávky, mezního užitku či nákladů na výrobu. Makroekonomie se naopak zabývá zkoumáním ekonomického systému jako celku. Popisuje, jakými mechanismy </w:t>
      </w:r>
      <w:r w:rsidRPr="00F609B3">
        <w:rPr>
          <w:rFonts w:ascii="Times New Roman" w:hAnsi="Times New Roman" w:cs="Times New Roman"/>
          <w:sz w:val="18"/>
          <w:szCs w:val="18"/>
        </w:rPr>
        <w:lastRenderedPageBreak/>
        <w:t xml:space="preserve">jsou tvořeny veličiny jako hrubý domácí produkt, agregátní nabídka, agregátní poptávka, inflace, nezaměstnanost, úroková míra nebo měnový kurz. Hrubý domácí produkt je měřen pomocí národních účtů, jejichž sestavování je v makroekonomii klíčové.  Jedním ze základních makroekonomických modelů je IS-LM model zobrazující vztah peněžního trhu a trhu zboží a služeb, který představil </w:t>
      </w:r>
      <w:proofErr w:type="spellStart"/>
      <w:r w:rsidRPr="00F609B3">
        <w:rPr>
          <w:rFonts w:ascii="Times New Roman" w:hAnsi="Times New Roman" w:cs="Times New Roman"/>
          <w:sz w:val="18"/>
          <w:szCs w:val="18"/>
        </w:rPr>
        <w:t>Hicks</w:t>
      </w:r>
      <w:proofErr w:type="spellEnd"/>
      <w:r w:rsidRPr="00F609B3">
        <w:rPr>
          <w:rFonts w:ascii="Times New Roman" w:hAnsi="Times New Roman" w:cs="Times New Roman"/>
          <w:sz w:val="18"/>
          <w:szCs w:val="18"/>
        </w:rPr>
        <w:t xml:space="preserve"> (1937). Tyto dva hlavní pohledy na ekonomii byly ve druhé polovině dvacátého st</w:t>
      </w:r>
      <w:r>
        <w:rPr>
          <w:rFonts w:ascii="Times New Roman" w:hAnsi="Times New Roman" w:cs="Times New Roman"/>
          <w:sz w:val="18"/>
          <w:szCs w:val="18"/>
        </w:rPr>
        <w:t xml:space="preserve">oletí doplněny o </w:t>
      </w:r>
      <w:proofErr w:type="spellStart"/>
      <w:r>
        <w:rPr>
          <w:rFonts w:ascii="Times New Roman" w:hAnsi="Times New Roman" w:cs="Times New Roman"/>
          <w:sz w:val="18"/>
          <w:szCs w:val="18"/>
        </w:rPr>
        <w:t>mezoekonomický</w:t>
      </w:r>
      <w:proofErr w:type="spellEnd"/>
      <w:r>
        <w:rPr>
          <w:rFonts w:ascii="Times New Roman" w:hAnsi="Times New Roman" w:cs="Times New Roman"/>
          <w:sz w:val="18"/>
          <w:szCs w:val="18"/>
        </w:rPr>
        <w:t xml:space="preserve"> </w:t>
      </w:r>
      <w:r w:rsidRPr="00F609B3">
        <w:rPr>
          <w:rFonts w:ascii="Times New Roman" w:hAnsi="Times New Roman" w:cs="Times New Roman"/>
          <w:sz w:val="18"/>
          <w:szCs w:val="18"/>
        </w:rPr>
        <w:t>pohled.</w:t>
      </w:r>
    </w:p>
    <w:p w:rsidR="007235EB" w:rsidRPr="00F609B3" w:rsidRDefault="007235EB" w:rsidP="00F609B3">
      <w:pPr>
        <w:spacing w:after="0" w:line="240" w:lineRule="auto"/>
        <w:jc w:val="both"/>
        <w:rPr>
          <w:rFonts w:ascii="Times New Roman" w:hAnsi="Times New Roman" w:cs="Times New Roman"/>
          <w:sz w:val="18"/>
          <w:szCs w:val="18"/>
        </w:rPr>
      </w:pPr>
    </w:p>
    <w:p w:rsidR="007235EB" w:rsidRPr="007235EB" w:rsidRDefault="007235EB" w:rsidP="007235EB">
      <w:pPr>
        <w:pStyle w:val="Odstavecseseznamem"/>
        <w:numPr>
          <w:ilvl w:val="1"/>
          <w:numId w:val="6"/>
        </w:numPr>
        <w:spacing w:after="0" w:line="240" w:lineRule="auto"/>
        <w:jc w:val="both"/>
        <w:rPr>
          <w:rFonts w:ascii="Times New Roman" w:hAnsi="Times New Roman" w:cs="Times New Roman"/>
          <w:b/>
          <w:sz w:val="18"/>
          <w:szCs w:val="18"/>
        </w:rPr>
      </w:pPr>
      <w:r w:rsidRPr="007235EB">
        <w:rPr>
          <w:rFonts w:ascii="Times New Roman" w:hAnsi="Times New Roman" w:cs="Times New Roman"/>
          <w:b/>
          <w:sz w:val="18"/>
          <w:szCs w:val="18"/>
        </w:rPr>
        <w:t xml:space="preserve">Definice </w:t>
      </w:r>
      <w:proofErr w:type="spellStart"/>
      <w:r w:rsidRPr="007235EB">
        <w:rPr>
          <w:rFonts w:ascii="Times New Roman" w:hAnsi="Times New Roman" w:cs="Times New Roman"/>
          <w:b/>
          <w:sz w:val="18"/>
          <w:szCs w:val="18"/>
        </w:rPr>
        <w:t>mezoekonomiky</w:t>
      </w:r>
      <w:proofErr w:type="spellEnd"/>
    </w:p>
    <w:p w:rsidR="00F609B3" w:rsidRPr="00F609B3" w:rsidRDefault="00F609B3" w:rsidP="00F609B3">
      <w:pPr>
        <w:spacing w:after="0" w:line="240" w:lineRule="auto"/>
        <w:jc w:val="both"/>
        <w:rPr>
          <w:rFonts w:ascii="Times New Roman" w:hAnsi="Times New Roman" w:cs="Times New Roman"/>
          <w:sz w:val="18"/>
          <w:szCs w:val="18"/>
        </w:rPr>
      </w:pPr>
    </w:p>
    <w:p w:rsidR="007235EB" w:rsidRPr="007235EB" w:rsidRDefault="007235EB" w:rsidP="007235EB">
      <w:pPr>
        <w:spacing w:line="240" w:lineRule="auto"/>
        <w:jc w:val="both"/>
        <w:rPr>
          <w:rFonts w:ascii="Times New Roman" w:hAnsi="Times New Roman" w:cs="Times New Roman"/>
          <w:sz w:val="18"/>
          <w:szCs w:val="18"/>
        </w:rPr>
      </w:pPr>
      <w:r w:rsidRPr="007235EB">
        <w:rPr>
          <w:rFonts w:ascii="Times New Roman" w:hAnsi="Times New Roman" w:cs="Times New Roman"/>
          <w:sz w:val="18"/>
          <w:szCs w:val="18"/>
        </w:rPr>
        <w:t xml:space="preserve">V literatuře lze nalézt řadu výkladů a využití </w:t>
      </w:r>
      <w:proofErr w:type="spellStart"/>
      <w:r w:rsidRPr="007235EB">
        <w:rPr>
          <w:rFonts w:ascii="Times New Roman" w:hAnsi="Times New Roman" w:cs="Times New Roman"/>
          <w:sz w:val="18"/>
          <w:szCs w:val="18"/>
        </w:rPr>
        <w:t>mezoekonomiky</w:t>
      </w:r>
      <w:proofErr w:type="spellEnd"/>
      <w:r w:rsidRPr="007235EB">
        <w:rPr>
          <w:rFonts w:ascii="Times New Roman" w:hAnsi="Times New Roman" w:cs="Times New Roman"/>
          <w:sz w:val="18"/>
          <w:szCs w:val="18"/>
        </w:rPr>
        <w:t xml:space="preserve">, které se od sebe liší. Jedním z prvních autorů, kdo vyzdvihoval význam </w:t>
      </w:r>
      <w:proofErr w:type="spellStart"/>
      <w:r w:rsidRPr="007235EB">
        <w:rPr>
          <w:rFonts w:ascii="Times New Roman" w:hAnsi="Times New Roman" w:cs="Times New Roman"/>
          <w:sz w:val="18"/>
          <w:szCs w:val="18"/>
        </w:rPr>
        <w:t>mezoekonomiky</w:t>
      </w:r>
      <w:proofErr w:type="spellEnd"/>
      <w:r w:rsidRPr="007235EB">
        <w:rPr>
          <w:rFonts w:ascii="Times New Roman" w:hAnsi="Times New Roman" w:cs="Times New Roman"/>
          <w:sz w:val="18"/>
          <w:szCs w:val="18"/>
        </w:rPr>
        <w:t xml:space="preserve">, je korejský ekonom </w:t>
      </w:r>
      <w:proofErr w:type="spellStart"/>
      <w:r w:rsidRPr="007235EB">
        <w:rPr>
          <w:rFonts w:ascii="Times New Roman" w:hAnsi="Times New Roman" w:cs="Times New Roman"/>
          <w:sz w:val="18"/>
          <w:szCs w:val="18"/>
        </w:rPr>
        <w:t>Yew</w:t>
      </w:r>
      <w:proofErr w:type="spellEnd"/>
      <w:r w:rsidRPr="007235EB">
        <w:rPr>
          <w:rFonts w:ascii="Times New Roman" w:hAnsi="Times New Roman" w:cs="Times New Roman"/>
          <w:sz w:val="18"/>
          <w:szCs w:val="18"/>
        </w:rPr>
        <w:t xml:space="preserve">-Kwang </w:t>
      </w:r>
      <w:proofErr w:type="spellStart"/>
      <w:r w:rsidRPr="007235EB">
        <w:rPr>
          <w:rFonts w:ascii="Times New Roman" w:hAnsi="Times New Roman" w:cs="Times New Roman"/>
          <w:sz w:val="18"/>
          <w:szCs w:val="18"/>
        </w:rPr>
        <w:t>Ng</w:t>
      </w:r>
      <w:proofErr w:type="spellEnd"/>
      <w:r w:rsidRPr="007235EB">
        <w:rPr>
          <w:rFonts w:ascii="Times New Roman" w:hAnsi="Times New Roman" w:cs="Times New Roman"/>
          <w:sz w:val="18"/>
          <w:szCs w:val="18"/>
        </w:rPr>
        <w:t>. Ve studii (</w:t>
      </w:r>
      <w:proofErr w:type="spellStart"/>
      <w:r w:rsidRPr="007235EB">
        <w:rPr>
          <w:rFonts w:ascii="Times New Roman" w:hAnsi="Times New Roman" w:cs="Times New Roman"/>
          <w:sz w:val="18"/>
          <w:szCs w:val="18"/>
        </w:rPr>
        <w:t>Ng</w:t>
      </w:r>
      <w:proofErr w:type="spellEnd"/>
      <w:r w:rsidRPr="007235EB">
        <w:rPr>
          <w:rFonts w:ascii="Times New Roman" w:hAnsi="Times New Roman" w:cs="Times New Roman"/>
          <w:sz w:val="18"/>
          <w:szCs w:val="18"/>
        </w:rPr>
        <w:t xml:space="preserve">, 1986) zkoumal důsledky nedokonalé konkurence na makroekonomické ukazatele prostřednictvím </w:t>
      </w:r>
      <w:proofErr w:type="spellStart"/>
      <w:r w:rsidRPr="007235EB">
        <w:rPr>
          <w:rFonts w:ascii="Times New Roman" w:hAnsi="Times New Roman" w:cs="Times New Roman"/>
          <w:sz w:val="18"/>
          <w:szCs w:val="18"/>
        </w:rPr>
        <w:t>mezoekonomiky</w:t>
      </w:r>
      <w:proofErr w:type="spellEnd"/>
      <w:r w:rsidRPr="007235EB">
        <w:rPr>
          <w:rFonts w:ascii="Times New Roman" w:hAnsi="Times New Roman" w:cs="Times New Roman"/>
          <w:sz w:val="18"/>
          <w:szCs w:val="18"/>
        </w:rPr>
        <w:t xml:space="preserve">, kterou využil jako spojnici mezi mikroekonomickým a makroekonomickým pohledem na ekonomiku pro dosažení rovnováhy na trhu. Makroekonomickou analýzu zbavil předpokladu dokonale konkurenčního trhu a přiblížil ji tak více podmínkám, které převládali na skutečném trhu. Kwang poznatky o </w:t>
      </w:r>
      <w:proofErr w:type="spellStart"/>
      <w:r w:rsidRPr="007235EB">
        <w:rPr>
          <w:rFonts w:ascii="Times New Roman" w:hAnsi="Times New Roman" w:cs="Times New Roman"/>
          <w:sz w:val="18"/>
          <w:szCs w:val="18"/>
        </w:rPr>
        <w:t>mezoekonomice</w:t>
      </w:r>
      <w:proofErr w:type="spellEnd"/>
      <w:r w:rsidRPr="007235EB">
        <w:rPr>
          <w:rFonts w:ascii="Times New Roman" w:hAnsi="Times New Roman" w:cs="Times New Roman"/>
          <w:sz w:val="18"/>
          <w:szCs w:val="18"/>
        </w:rPr>
        <w:t xml:space="preserve"> dále prohluboval. </w:t>
      </w:r>
      <w:proofErr w:type="spellStart"/>
      <w:r w:rsidRPr="007235EB">
        <w:rPr>
          <w:rFonts w:ascii="Times New Roman" w:hAnsi="Times New Roman" w:cs="Times New Roman"/>
          <w:sz w:val="18"/>
          <w:szCs w:val="18"/>
        </w:rPr>
        <w:t>Mezoekonomický</w:t>
      </w:r>
      <w:proofErr w:type="spellEnd"/>
      <w:r w:rsidRPr="007235EB">
        <w:rPr>
          <w:rFonts w:ascii="Times New Roman" w:hAnsi="Times New Roman" w:cs="Times New Roman"/>
          <w:sz w:val="18"/>
          <w:szCs w:val="18"/>
        </w:rPr>
        <w:t xml:space="preserve"> pohled aplikoval například na vysvětlení dlouhotrvající recese </w:t>
      </w:r>
      <w:proofErr w:type="spellStart"/>
      <w:r w:rsidRPr="007235EB">
        <w:rPr>
          <w:rFonts w:ascii="Times New Roman" w:hAnsi="Times New Roman" w:cs="Times New Roman"/>
          <w:sz w:val="18"/>
          <w:szCs w:val="18"/>
        </w:rPr>
        <w:t>Ng</w:t>
      </w:r>
      <w:proofErr w:type="spellEnd"/>
      <w:r w:rsidRPr="007235EB">
        <w:rPr>
          <w:rFonts w:ascii="Times New Roman" w:hAnsi="Times New Roman" w:cs="Times New Roman"/>
          <w:sz w:val="18"/>
          <w:szCs w:val="18"/>
        </w:rPr>
        <w:t>, (1992).</w:t>
      </w:r>
    </w:p>
    <w:p w:rsidR="007235EB" w:rsidRPr="007235EB" w:rsidRDefault="007235EB" w:rsidP="007235EB">
      <w:pPr>
        <w:spacing w:line="240" w:lineRule="auto"/>
        <w:jc w:val="both"/>
        <w:rPr>
          <w:rFonts w:ascii="Times New Roman" w:hAnsi="Times New Roman" w:cs="Times New Roman"/>
          <w:sz w:val="18"/>
          <w:szCs w:val="18"/>
        </w:rPr>
      </w:pPr>
      <w:r w:rsidRPr="007235EB">
        <w:rPr>
          <w:rFonts w:ascii="Times New Roman" w:hAnsi="Times New Roman" w:cs="Times New Roman"/>
          <w:sz w:val="18"/>
          <w:szCs w:val="18"/>
        </w:rPr>
        <w:t xml:space="preserve">Za hlavního představitele </w:t>
      </w:r>
      <w:proofErr w:type="spellStart"/>
      <w:r w:rsidRPr="007235EB">
        <w:rPr>
          <w:rFonts w:ascii="Times New Roman" w:hAnsi="Times New Roman" w:cs="Times New Roman"/>
          <w:sz w:val="18"/>
          <w:szCs w:val="18"/>
        </w:rPr>
        <w:t>mezoekonomiky</w:t>
      </w:r>
      <w:proofErr w:type="spellEnd"/>
      <w:r w:rsidRPr="007235EB">
        <w:rPr>
          <w:rFonts w:ascii="Times New Roman" w:hAnsi="Times New Roman" w:cs="Times New Roman"/>
          <w:sz w:val="18"/>
          <w:szCs w:val="18"/>
        </w:rPr>
        <w:t xml:space="preserve"> je považován britský ekonom </w:t>
      </w:r>
      <w:proofErr w:type="spellStart"/>
      <w:r w:rsidRPr="007235EB">
        <w:rPr>
          <w:rFonts w:ascii="Times New Roman" w:hAnsi="Times New Roman" w:cs="Times New Roman"/>
          <w:sz w:val="18"/>
          <w:szCs w:val="18"/>
        </w:rPr>
        <w:t>Stuart</w:t>
      </w:r>
      <w:proofErr w:type="spellEnd"/>
      <w:r w:rsidRPr="007235EB">
        <w:rPr>
          <w:rFonts w:ascii="Times New Roman" w:hAnsi="Times New Roman" w:cs="Times New Roman"/>
          <w:sz w:val="18"/>
          <w:szCs w:val="18"/>
        </w:rPr>
        <w:t xml:space="preserve"> </w:t>
      </w:r>
      <w:proofErr w:type="spellStart"/>
      <w:r w:rsidRPr="007235EB">
        <w:rPr>
          <w:rFonts w:ascii="Times New Roman" w:hAnsi="Times New Roman" w:cs="Times New Roman"/>
          <w:sz w:val="18"/>
          <w:szCs w:val="18"/>
        </w:rPr>
        <w:t>Holland</w:t>
      </w:r>
      <w:proofErr w:type="spellEnd"/>
      <w:r w:rsidRPr="007235EB">
        <w:rPr>
          <w:rFonts w:ascii="Times New Roman" w:hAnsi="Times New Roman" w:cs="Times New Roman"/>
          <w:sz w:val="18"/>
          <w:szCs w:val="18"/>
        </w:rPr>
        <w:t xml:space="preserve">. Ten ve své teorii vychází z předpokladu, že ekonomiku země silně ovlivňují velké firmy, ze kterých se v rámci ekonomiky formuje speciální sektor, tzv. </w:t>
      </w:r>
      <w:proofErr w:type="spellStart"/>
      <w:r w:rsidRPr="007235EB">
        <w:rPr>
          <w:rFonts w:ascii="Times New Roman" w:hAnsi="Times New Roman" w:cs="Times New Roman"/>
          <w:sz w:val="18"/>
          <w:szCs w:val="18"/>
        </w:rPr>
        <w:t>mezeoekonomika</w:t>
      </w:r>
      <w:proofErr w:type="spellEnd"/>
      <w:r w:rsidRPr="007235EB">
        <w:rPr>
          <w:rFonts w:ascii="Times New Roman" w:hAnsi="Times New Roman" w:cs="Times New Roman"/>
          <w:sz w:val="18"/>
          <w:szCs w:val="18"/>
        </w:rPr>
        <w:t xml:space="preserve">. Ve své teorii uvádí, že jedno až dvě procenta velkých firem vytvářejí ve vyspělých zemích přes 50 % veškeré produkce země. Vzniká tak nedokonalý trh, který velmi ovlivňují velké firmy v pozici monopolu či oligopolu. Za úspěchem velkých firem stojí především jejich lobbovací síla, specifické možnosti boje s konkurencí, daňové optimalizace či úspory z rozsahu. Síla těchto firem nespočívá dle </w:t>
      </w:r>
      <w:proofErr w:type="spellStart"/>
      <w:r w:rsidRPr="007235EB">
        <w:rPr>
          <w:rFonts w:ascii="Times New Roman" w:hAnsi="Times New Roman" w:cs="Times New Roman"/>
          <w:sz w:val="18"/>
          <w:szCs w:val="18"/>
        </w:rPr>
        <w:t>Holland</w:t>
      </w:r>
      <w:proofErr w:type="spellEnd"/>
      <w:r w:rsidRPr="007235EB">
        <w:rPr>
          <w:rFonts w:ascii="Times New Roman" w:hAnsi="Times New Roman" w:cs="Times New Roman"/>
          <w:sz w:val="18"/>
          <w:szCs w:val="18"/>
        </w:rPr>
        <w:t xml:space="preserve"> (1987) jen v jejich ekonomické síle, ale i politické. Velké firmy mají sílu měnit zákony v dané zemi a ovlivňovat celou společnost. Dle Blažka a Uhlíře (2002) existuje několik způsobů omezení vlivu velkých firem v ekonomice:</w:t>
      </w:r>
    </w:p>
    <w:p w:rsidR="007235EB" w:rsidRPr="007235EB" w:rsidRDefault="007235EB" w:rsidP="007235EB">
      <w:pPr>
        <w:pStyle w:val="Odstavecseseznamem"/>
        <w:numPr>
          <w:ilvl w:val="0"/>
          <w:numId w:val="10"/>
        </w:numPr>
        <w:spacing w:line="240" w:lineRule="auto"/>
        <w:rPr>
          <w:rFonts w:ascii="Times New Roman" w:eastAsiaTheme="minorHAnsi" w:hAnsi="Times New Roman" w:cs="Times New Roman"/>
          <w:sz w:val="18"/>
          <w:szCs w:val="18"/>
          <w:lang w:eastAsia="en-US"/>
        </w:rPr>
      </w:pPr>
      <w:r w:rsidRPr="007235EB">
        <w:rPr>
          <w:rFonts w:ascii="Times New Roman" w:eastAsiaTheme="minorHAnsi" w:hAnsi="Times New Roman" w:cs="Times New Roman"/>
          <w:sz w:val="18"/>
          <w:szCs w:val="18"/>
          <w:lang w:eastAsia="en-US"/>
        </w:rPr>
        <w:t>Posílení regulační role státu</w:t>
      </w:r>
    </w:p>
    <w:p w:rsidR="007235EB" w:rsidRPr="007235EB" w:rsidRDefault="007235EB" w:rsidP="007235EB">
      <w:pPr>
        <w:pStyle w:val="Odstavecseseznamem"/>
        <w:numPr>
          <w:ilvl w:val="0"/>
          <w:numId w:val="10"/>
        </w:numPr>
        <w:rPr>
          <w:rFonts w:ascii="Times New Roman" w:eastAsiaTheme="minorHAnsi" w:hAnsi="Times New Roman" w:cs="Times New Roman"/>
          <w:sz w:val="18"/>
          <w:szCs w:val="18"/>
          <w:lang w:eastAsia="en-US"/>
        </w:rPr>
      </w:pPr>
      <w:r w:rsidRPr="007235EB">
        <w:rPr>
          <w:rFonts w:ascii="Times New Roman" w:eastAsiaTheme="minorHAnsi" w:hAnsi="Times New Roman" w:cs="Times New Roman"/>
          <w:sz w:val="18"/>
          <w:szCs w:val="18"/>
          <w:lang w:eastAsia="en-US"/>
        </w:rPr>
        <w:t>Využití legislativních nástrojů (velké společnosti musí zveřejňovat své záměry, účetnictví, míru investic a podléhat větší kontrole od státu).</w:t>
      </w:r>
    </w:p>
    <w:p w:rsidR="007235EB" w:rsidRPr="007235EB" w:rsidRDefault="007235EB" w:rsidP="007235EB">
      <w:pPr>
        <w:pStyle w:val="Odstavecseseznamem"/>
        <w:numPr>
          <w:ilvl w:val="0"/>
          <w:numId w:val="10"/>
        </w:numPr>
        <w:rPr>
          <w:rFonts w:ascii="Times New Roman" w:eastAsiaTheme="minorHAnsi" w:hAnsi="Times New Roman" w:cs="Times New Roman"/>
          <w:sz w:val="18"/>
          <w:szCs w:val="18"/>
          <w:lang w:eastAsia="en-US"/>
        </w:rPr>
      </w:pPr>
      <w:r w:rsidRPr="007235EB">
        <w:rPr>
          <w:rFonts w:ascii="Times New Roman" w:eastAsiaTheme="minorHAnsi" w:hAnsi="Times New Roman" w:cs="Times New Roman"/>
          <w:sz w:val="18"/>
          <w:szCs w:val="18"/>
          <w:lang w:eastAsia="en-US"/>
        </w:rPr>
        <w:t>Posílení role odborů</w:t>
      </w:r>
    </w:p>
    <w:p w:rsidR="007235EB" w:rsidRDefault="007235EB" w:rsidP="007235EB">
      <w:pPr>
        <w:pStyle w:val="Odstavecseseznamem"/>
        <w:numPr>
          <w:ilvl w:val="0"/>
          <w:numId w:val="10"/>
        </w:numPr>
        <w:rPr>
          <w:rFonts w:ascii="Times New Roman" w:hAnsi="Times New Roman" w:cs="Times New Roman"/>
          <w:sz w:val="18"/>
          <w:szCs w:val="18"/>
        </w:rPr>
      </w:pPr>
      <w:r w:rsidRPr="007235EB">
        <w:rPr>
          <w:rFonts w:ascii="Times New Roman" w:eastAsiaTheme="minorHAnsi" w:hAnsi="Times New Roman" w:cs="Times New Roman"/>
          <w:sz w:val="18"/>
          <w:szCs w:val="18"/>
          <w:lang w:eastAsia="en-US"/>
        </w:rPr>
        <w:t>Využití nástrojů fiskální politiky</w:t>
      </w:r>
    </w:p>
    <w:p w:rsidR="007235EB" w:rsidRDefault="007235EB" w:rsidP="007235EB">
      <w:pPr>
        <w:pStyle w:val="Odstavecseseznamem"/>
        <w:rPr>
          <w:rFonts w:ascii="Times New Roman" w:hAnsi="Times New Roman" w:cs="Times New Roman"/>
          <w:sz w:val="18"/>
          <w:szCs w:val="18"/>
        </w:rPr>
      </w:pPr>
    </w:p>
    <w:p w:rsidR="007235EB" w:rsidRDefault="007235EB" w:rsidP="007235EB">
      <w:pPr>
        <w:pStyle w:val="Odstavecseseznamem"/>
        <w:rPr>
          <w:rFonts w:ascii="Times New Roman" w:hAnsi="Times New Roman" w:cs="Times New Roman"/>
          <w:sz w:val="18"/>
          <w:szCs w:val="18"/>
        </w:rPr>
      </w:pPr>
    </w:p>
    <w:p w:rsidR="007235EB" w:rsidRDefault="007235EB" w:rsidP="007235EB">
      <w:pPr>
        <w:spacing w:after="0" w:line="240" w:lineRule="auto"/>
        <w:jc w:val="both"/>
        <w:rPr>
          <w:rFonts w:ascii="Times New Roman" w:hAnsi="Times New Roman" w:cs="Times New Roman"/>
          <w:sz w:val="18"/>
          <w:szCs w:val="18"/>
        </w:rPr>
      </w:pPr>
      <w:r w:rsidRPr="007235EB">
        <w:rPr>
          <w:rFonts w:ascii="Times New Roman" w:hAnsi="Times New Roman" w:cs="Times New Roman"/>
          <w:sz w:val="18"/>
          <w:szCs w:val="18"/>
        </w:rPr>
        <w:lastRenderedPageBreak/>
        <w:t xml:space="preserve">Některé studie ovšem zmiňují pozitivní efekty plynoucí z existence velkých společností na trhu. </w:t>
      </w:r>
      <w:proofErr w:type="spellStart"/>
      <w:r w:rsidRPr="007235EB">
        <w:rPr>
          <w:rFonts w:ascii="Times New Roman" w:hAnsi="Times New Roman" w:cs="Times New Roman"/>
          <w:sz w:val="18"/>
          <w:szCs w:val="18"/>
        </w:rPr>
        <w:t>Srholec</w:t>
      </w:r>
      <w:proofErr w:type="spellEnd"/>
      <w:r w:rsidRPr="007235EB">
        <w:rPr>
          <w:rFonts w:ascii="Times New Roman" w:hAnsi="Times New Roman" w:cs="Times New Roman"/>
          <w:sz w:val="18"/>
          <w:szCs w:val="18"/>
        </w:rPr>
        <w:t xml:space="preserve"> (2004) za výhodu považuje rozvoj technologií na trhu. Velké podniky disponují kapitálem, který mohou investovat do výzkumu a vývoje, který vede k technologickému posunu celého odvětví, ze kterého následně profitují i malé a střední podniky. Technologie a know-how se k malým podnikům dostává například v podobě zaměstnanců, kteří mění svého zaměstnavatele a odchází z velké společnosti do menší. </w:t>
      </w:r>
      <w:proofErr w:type="spellStart"/>
      <w:r w:rsidRPr="007235EB">
        <w:rPr>
          <w:rFonts w:ascii="Times New Roman" w:hAnsi="Times New Roman" w:cs="Times New Roman"/>
          <w:sz w:val="18"/>
          <w:szCs w:val="18"/>
        </w:rPr>
        <w:t>Blomström</w:t>
      </w:r>
      <w:proofErr w:type="spellEnd"/>
      <w:r w:rsidRPr="007235EB">
        <w:rPr>
          <w:rFonts w:ascii="Times New Roman" w:hAnsi="Times New Roman" w:cs="Times New Roman"/>
          <w:sz w:val="18"/>
          <w:szCs w:val="18"/>
        </w:rPr>
        <w:t xml:space="preserve">, </w:t>
      </w:r>
      <w:proofErr w:type="spellStart"/>
      <w:r w:rsidRPr="007235EB">
        <w:rPr>
          <w:rFonts w:ascii="Times New Roman" w:hAnsi="Times New Roman" w:cs="Times New Roman"/>
          <w:sz w:val="18"/>
          <w:szCs w:val="18"/>
        </w:rPr>
        <w:t>Sjöholm</w:t>
      </w:r>
      <w:proofErr w:type="spellEnd"/>
      <w:r w:rsidRPr="007235EB">
        <w:rPr>
          <w:rFonts w:ascii="Times New Roman" w:hAnsi="Times New Roman" w:cs="Times New Roman"/>
          <w:sz w:val="18"/>
          <w:szCs w:val="18"/>
        </w:rPr>
        <w:t xml:space="preserve"> (1998) v této souvislosti uvádí, že z existence velkých podniků na trhu profitují především státy a regiony investující do znalostní ekonomiky, kde je přesun znalostí nejefektivnější. Velké nadnárodní společnosti mohou také snadno vstupovat na zahraniční trhy a zvyšují tak exportní potenciál regionu či státu, čímž mají pozitivní vliv na platební bilanci státu </w:t>
      </w:r>
      <w:proofErr w:type="spellStart"/>
      <w:r w:rsidRPr="007235EB">
        <w:rPr>
          <w:rFonts w:ascii="Times New Roman" w:hAnsi="Times New Roman" w:cs="Times New Roman"/>
          <w:sz w:val="18"/>
          <w:szCs w:val="18"/>
        </w:rPr>
        <w:t>Blomström</w:t>
      </w:r>
      <w:proofErr w:type="spellEnd"/>
      <w:r w:rsidRPr="007235EB">
        <w:rPr>
          <w:rFonts w:ascii="Times New Roman" w:hAnsi="Times New Roman" w:cs="Times New Roman"/>
          <w:sz w:val="18"/>
          <w:szCs w:val="18"/>
        </w:rPr>
        <w:t xml:space="preserve">, </w:t>
      </w:r>
      <w:proofErr w:type="spellStart"/>
      <w:r w:rsidRPr="007235EB">
        <w:rPr>
          <w:rFonts w:ascii="Times New Roman" w:hAnsi="Times New Roman" w:cs="Times New Roman"/>
          <w:sz w:val="18"/>
          <w:szCs w:val="18"/>
        </w:rPr>
        <w:t>Kokko</w:t>
      </w:r>
      <w:proofErr w:type="spellEnd"/>
      <w:r w:rsidRPr="007235EB">
        <w:rPr>
          <w:rFonts w:ascii="Times New Roman" w:hAnsi="Times New Roman" w:cs="Times New Roman"/>
          <w:sz w:val="18"/>
          <w:szCs w:val="18"/>
        </w:rPr>
        <w:t xml:space="preserve">, (1996). Do státu se zároveň dostávají technologie a znalosti z jiných zemí. Stejně tak autoři </w:t>
      </w:r>
      <w:proofErr w:type="spellStart"/>
      <w:r w:rsidRPr="007235EB">
        <w:rPr>
          <w:rFonts w:ascii="Times New Roman" w:hAnsi="Times New Roman" w:cs="Times New Roman"/>
          <w:sz w:val="18"/>
          <w:szCs w:val="18"/>
        </w:rPr>
        <w:t>Görg</w:t>
      </w:r>
      <w:proofErr w:type="spellEnd"/>
      <w:r w:rsidRPr="007235EB">
        <w:rPr>
          <w:rFonts w:ascii="Times New Roman" w:hAnsi="Times New Roman" w:cs="Times New Roman"/>
          <w:sz w:val="18"/>
          <w:szCs w:val="18"/>
        </w:rPr>
        <w:t xml:space="preserve">, </w:t>
      </w:r>
      <w:proofErr w:type="spellStart"/>
      <w:r w:rsidRPr="007235EB">
        <w:rPr>
          <w:rFonts w:ascii="Times New Roman" w:hAnsi="Times New Roman" w:cs="Times New Roman"/>
          <w:sz w:val="18"/>
          <w:szCs w:val="18"/>
        </w:rPr>
        <w:t>Strobl</w:t>
      </w:r>
      <w:proofErr w:type="spellEnd"/>
      <w:r w:rsidRPr="007235EB">
        <w:rPr>
          <w:rFonts w:ascii="Times New Roman" w:hAnsi="Times New Roman" w:cs="Times New Roman"/>
          <w:sz w:val="18"/>
          <w:szCs w:val="18"/>
        </w:rPr>
        <w:t>, (2005) docházejí k závěrům, že díky působení velkých a nadnárodních společností roste v ekonomice produktivita práce a jejich celkový vliv na ekonomiku státu hodnotí jako kladný.</w:t>
      </w:r>
    </w:p>
    <w:p w:rsidR="0021593F" w:rsidRDefault="0021593F" w:rsidP="007235EB">
      <w:pPr>
        <w:spacing w:after="0" w:line="240" w:lineRule="auto"/>
        <w:jc w:val="both"/>
        <w:rPr>
          <w:rFonts w:ascii="Times New Roman" w:hAnsi="Times New Roman" w:cs="Times New Roman"/>
          <w:sz w:val="18"/>
          <w:szCs w:val="18"/>
        </w:rPr>
      </w:pPr>
    </w:p>
    <w:p w:rsidR="0021593F" w:rsidRPr="0021593F" w:rsidRDefault="0021593F" w:rsidP="0021593F">
      <w:pPr>
        <w:pStyle w:val="Odstavecseseznamem"/>
        <w:numPr>
          <w:ilvl w:val="1"/>
          <w:numId w:val="6"/>
        </w:numPr>
        <w:spacing w:after="0" w:line="240" w:lineRule="auto"/>
        <w:jc w:val="both"/>
        <w:rPr>
          <w:rFonts w:ascii="Times New Roman" w:hAnsi="Times New Roman" w:cs="Times New Roman"/>
          <w:b/>
          <w:sz w:val="18"/>
          <w:szCs w:val="18"/>
        </w:rPr>
      </w:pPr>
      <w:r w:rsidRPr="0021593F">
        <w:rPr>
          <w:rFonts w:ascii="Times New Roman" w:hAnsi="Times New Roman" w:cs="Times New Roman"/>
          <w:b/>
          <w:sz w:val="18"/>
          <w:szCs w:val="18"/>
        </w:rPr>
        <w:t xml:space="preserve">Využití </w:t>
      </w:r>
      <w:proofErr w:type="spellStart"/>
      <w:r w:rsidRPr="0021593F">
        <w:rPr>
          <w:rFonts w:ascii="Times New Roman" w:hAnsi="Times New Roman" w:cs="Times New Roman"/>
          <w:b/>
          <w:sz w:val="18"/>
          <w:szCs w:val="18"/>
        </w:rPr>
        <w:t>mezoekonomiky</w:t>
      </w:r>
      <w:proofErr w:type="spellEnd"/>
    </w:p>
    <w:p w:rsidR="007235EB" w:rsidRPr="007235EB" w:rsidRDefault="007235EB" w:rsidP="007235EB">
      <w:pPr>
        <w:spacing w:after="0" w:line="240" w:lineRule="auto"/>
        <w:jc w:val="both"/>
        <w:rPr>
          <w:rFonts w:ascii="Times New Roman" w:hAnsi="Times New Roman" w:cs="Times New Roman"/>
          <w:sz w:val="18"/>
          <w:szCs w:val="18"/>
        </w:rPr>
      </w:pPr>
    </w:p>
    <w:p w:rsidR="0021593F" w:rsidRPr="0021593F" w:rsidRDefault="0021593F" w:rsidP="0021593F">
      <w:pPr>
        <w:spacing w:line="240" w:lineRule="auto"/>
        <w:jc w:val="both"/>
        <w:rPr>
          <w:rFonts w:ascii="Times New Roman" w:hAnsi="Times New Roman" w:cs="Times New Roman"/>
          <w:sz w:val="18"/>
          <w:szCs w:val="18"/>
        </w:rPr>
      </w:pPr>
      <w:proofErr w:type="spellStart"/>
      <w:r w:rsidRPr="0021593F">
        <w:rPr>
          <w:rFonts w:ascii="Times New Roman" w:hAnsi="Times New Roman" w:cs="Times New Roman"/>
          <w:sz w:val="18"/>
          <w:szCs w:val="18"/>
        </w:rPr>
        <w:t>Mezoekonomiku</w:t>
      </w:r>
      <w:proofErr w:type="spellEnd"/>
      <w:r w:rsidRPr="0021593F">
        <w:rPr>
          <w:rFonts w:ascii="Times New Roman" w:hAnsi="Times New Roman" w:cs="Times New Roman"/>
          <w:sz w:val="18"/>
          <w:szCs w:val="18"/>
        </w:rPr>
        <w:t xml:space="preserve"> lze využít k lepšímu pochopení struktury a tvorby HDP v dané zemi. Tím, že v této sféře jsou rozhodující firmy, tak sledováním jejich ekonomického vývoje můžeme odhadovat situaci jednotlivých regionů, ale i celé ekonomiky. Jsou rozhodující i pro pochopení struktury a procesu tvorby hodnoty národních účtů. Například můžeme s její pomocí zodpovědět, jaké kraje v dané zemi nejvíce ovlivňují celkové HDP a jaké jsou regionální rozdíly v dané zemi. Takový pohled má silný vliv i na politické uspořádání země. Jako příklad lze uvést sílící tlak bohatých severoitalských regionů na odtržení se od Itálie a vytvoření samostatných států. Stejné tendence lze v Evropě pozorovat i v případě Katalánska nebo Skotska.</w:t>
      </w:r>
    </w:p>
    <w:p w:rsidR="0021593F" w:rsidRDefault="0021593F" w:rsidP="0021593F">
      <w:pPr>
        <w:spacing w:line="240" w:lineRule="auto"/>
        <w:jc w:val="both"/>
        <w:rPr>
          <w:rFonts w:ascii="Times New Roman" w:hAnsi="Times New Roman" w:cs="Times New Roman"/>
          <w:sz w:val="18"/>
          <w:szCs w:val="18"/>
        </w:rPr>
      </w:pPr>
      <w:r w:rsidRPr="0021593F">
        <w:rPr>
          <w:rFonts w:ascii="Times New Roman" w:hAnsi="Times New Roman" w:cs="Times New Roman"/>
          <w:sz w:val="18"/>
          <w:szCs w:val="18"/>
        </w:rPr>
        <w:t xml:space="preserve">Podobným způsobem lze posoudit vliv největších společností v zemi a jejich vliv na tvorbu HDP s čímž souvisí i jejich lobbovací síla. Velké společnosti často mají vliv nejen v daném regionu, ale i na vládu dané země. V případě České republiky lze jako příklad uvést společnost AGROFERT, jejíž majitel se postupně stal i premiérem a lídrem jedné z nejsilnějších politických stran v zemi. </w:t>
      </w:r>
    </w:p>
    <w:p w:rsidR="0021593F" w:rsidRDefault="0021593F" w:rsidP="0021593F">
      <w:pPr>
        <w:pStyle w:val="Odstavecseseznamem"/>
        <w:numPr>
          <w:ilvl w:val="0"/>
          <w:numId w:val="6"/>
        </w:numPr>
        <w:spacing w:after="0" w:line="240" w:lineRule="auto"/>
        <w:jc w:val="both"/>
        <w:rPr>
          <w:rFonts w:ascii="Times New Roman" w:hAnsi="Times New Roman" w:cs="Times New Roman"/>
          <w:b/>
          <w:sz w:val="18"/>
          <w:szCs w:val="18"/>
        </w:rPr>
      </w:pPr>
      <w:r w:rsidRPr="0021593F">
        <w:rPr>
          <w:rFonts w:ascii="Times New Roman" w:hAnsi="Times New Roman" w:cs="Times New Roman"/>
          <w:b/>
          <w:sz w:val="18"/>
          <w:szCs w:val="18"/>
        </w:rPr>
        <w:t>POSOUZENÍ MEZOEKONOMIKY V ČESKÉ REPUBLICE</w:t>
      </w:r>
    </w:p>
    <w:p w:rsidR="0021593F" w:rsidRPr="0021593F" w:rsidRDefault="0021593F" w:rsidP="0021593F">
      <w:pPr>
        <w:spacing w:after="0" w:line="240" w:lineRule="auto"/>
        <w:jc w:val="both"/>
        <w:rPr>
          <w:rFonts w:ascii="Times New Roman" w:hAnsi="Times New Roman" w:cs="Times New Roman"/>
          <w:b/>
          <w:sz w:val="18"/>
          <w:szCs w:val="18"/>
        </w:rPr>
      </w:pPr>
    </w:p>
    <w:p w:rsidR="0021593F" w:rsidRPr="0021593F" w:rsidRDefault="0021593F" w:rsidP="0021593F">
      <w:pPr>
        <w:spacing w:line="240" w:lineRule="auto"/>
        <w:jc w:val="both"/>
        <w:rPr>
          <w:rFonts w:ascii="Times New Roman" w:hAnsi="Times New Roman" w:cs="Times New Roman"/>
          <w:sz w:val="18"/>
          <w:szCs w:val="18"/>
        </w:rPr>
      </w:pPr>
      <w:r w:rsidRPr="0021593F">
        <w:rPr>
          <w:rFonts w:ascii="Times New Roman" w:hAnsi="Times New Roman" w:cs="Times New Roman"/>
          <w:sz w:val="18"/>
          <w:szCs w:val="18"/>
        </w:rPr>
        <w:t xml:space="preserve">Význam </w:t>
      </w:r>
      <w:proofErr w:type="spellStart"/>
      <w:r w:rsidRPr="0021593F">
        <w:rPr>
          <w:rFonts w:ascii="Times New Roman" w:hAnsi="Times New Roman" w:cs="Times New Roman"/>
          <w:sz w:val="18"/>
          <w:szCs w:val="18"/>
        </w:rPr>
        <w:t>mezoekonomiky</w:t>
      </w:r>
      <w:proofErr w:type="spellEnd"/>
      <w:r w:rsidRPr="0021593F">
        <w:rPr>
          <w:rFonts w:ascii="Times New Roman" w:hAnsi="Times New Roman" w:cs="Times New Roman"/>
          <w:sz w:val="18"/>
          <w:szCs w:val="18"/>
        </w:rPr>
        <w:t xml:space="preserve"> v České republice lze posoudit poměrem tržeb největších podniků ve vztahu k národnímu účtu výroby, který zachycuje tržní produkci. K vyhodnocení lze využít databáze společnosti CzechTop100 (2016), která každoročně sestavuje pořadí sta nejvýznamnějších výrobních a obchodních firem dle výše tržeb a počtu zaměstnanců. Údaje o tržní produkci v analýze získáme z Českého statistického úřadu (2017). </w:t>
      </w:r>
    </w:p>
    <w:p w:rsidR="0021593F" w:rsidRPr="0021593F" w:rsidRDefault="0021593F" w:rsidP="0021593F">
      <w:pPr>
        <w:spacing w:line="240" w:lineRule="auto"/>
        <w:jc w:val="both"/>
        <w:rPr>
          <w:rFonts w:ascii="Times New Roman" w:hAnsi="Times New Roman" w:cs="Times New Roman"/>
          <w:sz w:val="18"/>
          <w:szCs w:val="18"/>
        </w:rPr>
      </w:pPr>
      <w:r w:rsidRPr="0021593F">
        <w:rPr>
          <w:rFonts w:ascii="Times New Roman" w:hAnsi="Times New Roman" w:cs="Times New Roman"/>
          <w:sz w:val="18"/>
          <w:szCs w:val="18"/>
        </w:rPr>
        <w:t>Analýzou se již zabývala studie Damborský, Hornychová (2014), která posuzovala vliv velkých firem na ekonomiku České republiky. Ve studii hodnotí podíl vybraných firem na celkové tržní produkci České republiky, počtu zaměstnanců v daném sektoru nebo velikost aktiv. Dochází k závěrům, že velké firmy tvoří</w:t>
      </w:r>
      <w:r>
        <w:t xml:space="preserve"> </w:t>
      </w:r>
      <w:r w:rsidRPr="0021593F">
        <w:rPr>
          <w:rFonts w:ascii="Times New Roman" w:hAnsi="Times New Roman" w:cs="Times New Roman"/>
          <w:sz w:val="18"/>
          <w:szCs w:val="18"/>
        </w:rPr>
        <w:t>klíčovou část ekonomiky České republiky i Evropské unie. Velké společnosti hrají ve velmi otevřené ekonomice České republiky zásadní roli. I malé změny v hospodaření těchto firem mají zásadní dopady na státní rozpočet. Vliv velkých podniků v ekonomice hodnotí kladně z důvodu toho, že generují poptávku po statcích a službách malých a středních podniků.</w:t>
      </w:r>
    </w:p>
    <w:p w:rsidR="0021593F" w:rsidRPr="0021593F" w:rsidRDefault="0021593F" w:rsidP="0021593F">
      <w:pPr>
        <w:spacing w:line="240" w:lineRule="auto"/>
        <w:jc w:val="both"/>
        <w:rPr>
          <w:rFonts w:ascii="Times New Roman" w:hAnsi="Times New Roman" w:cs="Times New Roman"/>
          <w:sz w:val="18"/>
          <w:szCs w:val="18"/>
        </w:rPr>
      </w:pPr>
      <w:r w:rsidRPr="0021593F">
        <w:rPr>
          <w:rFonts w:ascii="Times New Roman" w:hAnsi="Times New Roman" w:cs="Times New Roman"/>
          <w:sz w:val="18"/>
          <w:szCs w:val="18"/>
        </w:rPr>
        <w:t xml:space="preserve">V našem příspěvku analyzujeme situaci v roce 2015, kdy tržní produkce dosáhla 9,2 bilionu Kč. V žebříčku nebudeme abstrahovat od státních společností. Přehled 10 největších podniků dle tržeb </w:t>
      </w:r>
      <w:r w:rsidRPr="0021593F">
        <w:rPr>
          <w:rFonts w:ascii="Times New Roman" w:hAnsi="Times New Roman" w:cs="Times New Roman"/>
          <w:sz w:val="18"/>
          <w:szCs w:val="18"/>
        </w:rPr>
        <w:lastRenderedPageBreak/>
        <w:t>shrnuje tabulka č. 1. Uveden je akumulovaný podíl k tržní produkci. Největším podnikem je ŠKODA AUTO, která se na tržní produkci podílí 3 %. Druhým největším podnikem je ČEZ a na třetím místě je již dříve zmíněný AGROFERT. Deset největších podniků v České republice tvoří 14 % celkové tržní produkce.</w:t>
      </w:r>
    </w:p>
    <w:tbl>
      <w:tblPr>
        <w:tblStyle w:val="Mkatabulky"/>
        <w:tblW w:w="0" w:type="auto"/>
        <w:tblLook w:val="04A0" w:firstRow="1" w:lastRow="0" w:firstColumn="1" w:lastColumn="0" w:noHBand="0" w:noVBand="1"/>
      </w:tblPr>
      <w:tblGrid>
        <w:gridCol w:w="727"/>
        <w:gridCol w:w="1879"/>
        <w:gridCol w:w="981"/>
        <w:gridCol w:w="1590"/>
      </w:tblGrid>
      <w:tr w:rsidR="0021593F" w:rsidTr="0021593F">
        <w:tc>
          <w:tcPr>
            <w:tcW w:w="727" w:type="dxa"/>
            <w:vAlign w:val="bottom"/>
          </w:tcPr>
          <w:p w:rsidR="0021593F" w:rsidRPr="0021593F" w:rsidRDefault="0021593F" w:rsidP="00787C1B">
            <w:pPr>
              <w:jc w:val="center"/>
              <w:rPr>
                <w:rFonts w:ascii="Times New Roman" w:hAnsi="Times New Roman" w:cs="Times New Roman"/>
                <w:sz w:val="18"/>
                <w:szCs w:val="18"/>
              </w:rPr>
            </w:pPr>
            <w:r w:rsidRPr="0021593F">
              <w:rPr>
                <w:rFonts w:ascii="Times New Roman" w:hAnsi="Times New Roman" w:cs="Times New Roman"/>
                <w:sz w:val="18"/>
                <w:szCs w:val="18"/>
              </w:rPr>
              <w:t>Pořadí</w:t>
            </w:r>
          </w:p>
        </w:tc>
        <w:tc>
          <w:tcPr>
            <w:tcW w:w="1879" w:type="dxa"/>
            <w:vAlign w:val="bottom"/>
          </w:tcPr>
          <w:p w:rsidR="0021593F" w:rsidRPr="0021593F" w:rsidRDefault="0021593F" w:rsidP="00787C1B">
            <w:pPr>
              <w:rPr>
                <w:rFonts w:ascii="Times New Roman" w:hAnsi="Times New Roman" w:cs="Times New Roman"/>
                <w:sz w:val="18"/>
                <w:szCs w:val="18"/>
              </w:rPr>
            </w:pPr>
            <w:r w:rsidRPr="0021593F">
              <w:rPr>
                <w:rFonts w:ascii="Times New Roman" w:hAnsi="Times New Roman" w:cs="Times New Roman"/>
                <w:sz w:val="18"/>
                <w:szCs w:val="18"/>
              </w:rPr>
              <w:t>Název společnosti</w:t>
            </w:r>
          </w:p>
        </w:tc>
        <w:tc>
          <w:tcPr>
            <w:tcW w:w="981"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Tržby v roce 2015 (tis. Kč)</w:t>
            </w:r>
          </w:p>
        </w:tc>
        <w:tc>
          <w:tcPr>
            <w:tcW w:w="1590"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Akumulovaný podíl k tržní produkci v roce 2015</w:t>
            </w:r>
          </w:p>
        </w:tc>
      </w:tr>
      <w:tr w:rsidR="0021593F" w:rsidTr="0021593F">
        <w:tc>
          <w:tcPr>
            <w:tcW w:w="727" w:type="dxa"/>
            <w:vAlign w:val="bottom"/>
          </w:tcPr>
          <w:p w:rsidR="0021593F" w:rsidRPr="0021593F" w:rsidRDefault="0021593F" w:rsidP="00787C1B">
            <w:pPr>
              <w:jc w:val="center"/>
              <w:rPr>
                <w:rFonts w:ascii="Times New Roman" w:hAnsi="Times New Roman" w:cs="Times New Roman"/>
                <w:sz w:val="18"/>
                <w:szCs w:val="18"/>
              </w:rPr>
            </w:pPr>
            <w:r w:rsidRPr="0021593F">
              <w:rPr>
                <w:rFonts w:ascii="Times New Roman" w:hAnsi="Times New Roman" w:cs="Times New Roman"/>
                <w:sz w:val="18"/>
                <w:szCs w:val="18"/>
              </w:rPr>
              <w:t>1</w:t>
            </w:r>
          </w:p>
        </w:tc>
        <w:tc>
          <w:tcPr>
            <w:tcW w:w="1879" w:type="dxa"/>
            <w:vAlign w:val="bottom"/>
          </w:tcPr>
          <w:p w:rsidR="0021593F" w:rsidRPr="0021593F" w:rsidRDefault="0021593F" w:rsidP="00787C1B">
            <w:pPr>
              <w:rPr>
                <w:rFonts w:ascii="Times New Roman" w:hAnsi="Times New Roman" w:cs="Times New Roman"/>
                <w:sz w:val="18"/>
                <w:szCs w:val="18"/>
              </w:rPr>
            </w:pPr>
            <w:r w:rsidRPr="0021593F">
              <w:rPr>
                <w:rFonts w:ascii="Times New Roman" w:hAnsi="Times New Roman" w:cs="Times New Roman"/>
                <w:sz w:val="18"/>
                <w:szCs w:val="18"/>
              </w:rPr>
              <w:t>ŠKODA AUTO a.s.</w:t>
            </w:r>
          </w:p>
        </w:tc>
        <w:tc>
          <w:tcPr>
            <w:tcW w:w="981"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314 897 000</w:t>
            </w:r>
          </w:p>
        </w:tc>
        <w:tc>
          <w:tcPr>
            <w:tcW w:w="1590"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3%</w:t>
            </w:r>
          </w:p>
        </w:tc>
      </w:tr>
      <w:tr w:rsidR="0021593F" w:rsidTr="0021593F">
        <w:tc>
          <w:tcPr>
            <w:tcW w:w="727" w:type="dxa"/>
            <w:vAlign w:val="bottom"/>
          </w:tcPr>
          <w:p w:rsidR="0021593F" w:rsidRPr="0021593F" w:rsidRDefault="0021593F" w:rsidP="00787C1B">
            <w:pPr>
              <w:jc w:val="center"/>
              <w:rPr>
                <w:rFonts w:ascii="Times New Roman" w:hAnsi="Times New Roman" w:cs="Times New Roman"/>
                <w:sz w:val="18"/>
                <w:szCs w:val="18"/>
              </w:rPr>
            </w:pPr>
            <w:r w:rsidRPr="0021593F">
              <w:rPr>
                <w:rFonts w:ascii="Times New Roman" w:hAnsi="Times New Roman" w:cs="Times New Roman"/>
                <w:sz w:val="18"/>
                <w:szCs w:val="18"/>
              </w:rPr>
              <w:t>2</w:t>
            </w:r>
          </w:p>
        </w:tc>
        <w:tc>
          <w:tcPr>
            <w:tcW w:w="1879" w:type="dxa"/>
            <w:vAlign w:val="bottom"/>
          </w:tcPr>
          <w:p w:rsidR="0021593F" w:rsidRPr="0021593F" w:rsidRDefault="0021593F" w:rsidP="00787C1B">
            <w:pPr>
              <w:rPr>
                <w:rFonts w:ascii="Times New Roman" w:hAnsi="Times New Roman" w:cs="Times New Roman"/>
                <w:sz w:val="18"/>
                <w:szCs w:val="18"/>
              </w:rPr>
            </w:pPr>
            <w:r w:rsidRPr="0021593F">
              <w:rPr>
                <w:rFonts w:ascii="Times New Roman" w:hAnsi="Times New Roman" w:cs="Times New Roman"/>
                <w:sz w:val="18"/>
                <w:szCs w:val="18"/>
              </w:rPr>
              <w:t>ČEZ a.s.</w:t>
            </w:r>
          </w:p>
        </w:tc>
        <w:tc>
          <w:tcPr>
            <w:tcW w:w="981"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210 167 000</w:t>
            </w:r>
          </w:p>
        </w:tc>
        <w:tc>
          <w:tcPr>
            <w:tcW w:w="1590"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6%</w:t>
            </w:r>
          </w:p>
        </w:tc>
      </w:tr>
      <w:tr w:rsidR="0021593F" w:rsidTr="0021593F">
        <w:tc>
          <w:tcPr>
            <w:tcW w:w="727" w:type="dxa"/>
            <w:vAlign w:val="bottom"/>
          </w:tcPr>
          <w:p w:rsidR="0021593F" w:rsidRPr="0021593F" w:rsidRDefault="0021593F" w:rsidP="00787C1B">
            <w:pPr>
              <w:jc w:val="center"/>
              <w:rPr>
                <w:rFonts w:ascii="Times New Roman" w:hAnsi="Times New Roman" w:cs="Times New Roman"/>
                <w:sz w:val="18"/>
                <w:szCs w:val="18"/>
              </w:rPr>
            </w:pPr>
            <w:r w:rsidRPr="0021593F">
              <w:rPr>
                <w:rFonts w:ascii="Times New Roman" w:hAnsi="Times New Roman" w:cs="Times New Roman"/>
                <w:sz w:val="18"/>
                <w:szCs w:val="18"/>
              </w:rPr>
              <w:t>3</w:t>
            </w:r>
          </w:p>
        </w:tc>
        <w:tc>
          <w:tcPr>
            <w:tcW w:w="1879" w:type="dxa"/>
            <w:vAlign w:val="bottom"/>
          </w:tcPr>
          <w:p w:rsidR="0021593F" w:rsidRPr="0021593F" w:rsidRDefault="0021593F" w:rsidP="00787C1B">
            <w:pPr>
              <w:rPr>
                <w:rFonts w:ascii="Times New Roman" w:hAnsi="Times New Roman" w:cs="Times New Roman"/>
                <w:sz w:val="18"/>
                <w:szCs w:val="18"/>
              </w:rPr>
            </w:pPr>
            <w:r w:rsidRPr="0021593F">
              <w:rPr>
                <w:rFonts w:ascii="Times New Roman" w:hAnsi="Times New Roman" w:cs="Times New Roman"/>
                <w:sz w:val="18"/>
                <w:szCs w:val="18"/>
              </w:rPr>
              <w:t>AGROFERT, a.s.</w:t>
            </w:r>
          </w:p>
        </w:tc>
        <w:tc>
          <w:tcPr>
            <w:tcW w:w="981"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167 133 701</w:t>
            </w:r>
          </w:p>
        </w:tc>
        <w:tc>
          <w:tcPr>
            <w:tcW w:w="1590"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8%</w:t>
            </w:r>
          </w:p>
        </w:tc>
      </w:tr>
      <w:tr w:rsidR="0021593F" w:rsidTr="0021593F">
        <w:tc>
          <w:tcPr>
            <w:tcW w:w="727" w:type="dxa"/>
            <w:vAlign w:val="bottom"/>
          </w:tcPr>
          <w:p w:rsidR="0021593F" w:rsidRPr="0021593F" w:rsidRDefault="0021593F" w:rsidP="00787C1B">
            <w:pPr>
              <w:jc w:val="center"/>
              <w:rPr>
                <w:rFonts w:ascii="Times New Roman" w:hAnsi="Times New Roman" w:cs="Times New Roman"/>
                <w:sz w:val="18"/>
                <w:szCs w:val="18"/>
              </w:rPr>
            </w:pPr>
            <w:r w:rsidRPr="0021593F">
              <w:rPr>
                <w:rFonts w:ascii="Times New Roman" w:hAnsi="Times New Roman" w:cs="Times New Roman"/>
                <w:sz w:val="18"/>
                <w:szCs w:val="18"/>
              </w:rPr>
              <w:t>4</w:t>
            </w:r>
          </w:p>
        </w:tc>
        <w:tc>
          <w:tcPr>
            <w:tcW w:w="1879" w:type="dxa"/>
            <w:vAlign w:val="bottom"/>
          </w:tcPr>
          <w:p w:rsidR="0021593F" w:rsidRPr="0021593F" w:rsidRDefault="0021593F" w:rsidP="00787C1B">
            <w:pPr>
              <w:rPr>
                <w:rFonts w:ascii="Times New Roman" w:hAnsi="Times New Roman" w:cs="Times New Roman"/>
                <w:sz w:val="18"/>
                <w:szCs w:val="18"/>
              </w:rPr>
            </w:pPr>
            <w:r w:rsidRPr="0021593F">
              <w:rPr>
                <w:rFonts w:ascii="Times New Roman" w:hAnsi="Times New Roman" w:cs="Times New Roman"/>
                <w:sz w:val="18"/>
                <w:szCs w:val="18"/>
              </w:rPr>
              <w:t xml:space="preserve">RWE Supply &amp; </w:t>
            </w:r>
            <w:proofErr w:type="spellStart"/>
            <w:r w:rsidRPr="0021593F">
              <w:rPr>
                <w:rFonts w:ascii="Times New Roman" w:hAnsi="Times New Roman" w:cs="Times New Roman"/>
                <w:sz w:val="18"/>
                <w:szCs w:val="18"/>
              </w:rPr>
              <w:t>Trading</w:t>
            </w:r>
            <w:proofErr w:type="spellEnd"/>
            <w:r w:rsidRPr="0021593F">
              <w:rPr>
                <w:rFonts w:ascii="Times New Roman" w:hAnsi="Times New Roman" w:cs="Times New Roman"/>
                <w:sz w:val="18"/>
                <w:szCs w:val="18"/>
              </w:rPr>
              <w:t xml:space="preserve"> CZ, a.s.</w:t>
            </w:r>
          </w:p>
        </w:tc>
        <w:tc>
          <w:tcPr>
            <w:tcW w:w="981"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142 006 699</w:t>
            </w:r>
          </w:p>
        </w:tc>
        <w:tc>
          <w:tcPr>
            <w:tcW w:w="1590"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9%</w:t>
            </w:r>
          </w:p>
        </w:tc>
      </w:tr>
      <w:tr w:rsidR="0021593F" w:rsidTr="0021593F">
        <w:tc>
          <w:tcPr>
            <w:tcW w:w="727" w:type="dxa"/>
            <w:vAlign w:val="bottom"/>
          </w:tcPr>
          <w:p w:rsidR="0021593F" w:rsidRPr="0021593F" w:rsidRDefault="0021593F" w:rsidP="00787C1B">
            <w:pPr>
              <w:jc w:val="center"/>
              <w:rPr>
                <w:rFonts w:ascii="Times New Roman" w:hAnsi="Times New Roman" w:cs="Times New Roman"/>
                <w:sz w:val="18"/>
                <w:szCs w:val="18"/>
              </w:rPr>
            </w:pPr>
            <w:r w:rsidRPr="0021593F">
              <w:rPr>
                <w:rFonts w:ascii="Times New Roman" w:hAnsi="Times New Roman" w:cs="Times New Roman"/>
                <w:sz w:val="18"/>
                <w:szCs w:val="18"/>
              </w:rPr>
              <w:t>5</w:t>
            </w:r>
          </w:p>
        </w:tc>
        <w:tc>
          <w:tcPr>
            <w:tcW w:w="1879" w:type="dxa"/>
            <w:vAlign w:val="bottom"/>
          </w:tcPr>
          <w:p w:rsidR="0021593F" w:rsidRPr="0021593F" w:rsidRDefault="0021593F" w:rsidP="00787C1B">
            <w:pPr>
              <w:rPr>
                <w:rFonts w:ascii="Times New Roman" w:hAnsi="Times New Roman" w:cs="Times New Roman"/>
                <w:sz w:val="18"/>
                <w:szCs w:val="18"/>
              </w:rPr>
            </w:pPr>
            <w:r w:rsidRPr="0021593F">
              <w:rPr>
                <w:rFonts w:ascii="Times New Roman" w:hAnsi="Times New Roman" w:cs="Times New Roman"/>
                <w:sz w:val="18"/>
                <w:szCs w:val="18"/>
              </w:rPr>
              <w:t>FOXCONN CZ s.r.o.</w:t>
            </w:r>
          </w:p>
        </w:tc>
        <w:tc>
          <w:tcPr>
            <w:tcW w:w="981"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126 904 216</w:t>
            </w:r>
          </w:p>
        </w:tc>
        <w:tc>
          <w:tcPr>
            <w:tcW w:w="1590"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10%</w:t>
            </w:r>
          </w:p>
        </w:tc>
      </w:tr>
      <w:tr w:rsidR="0021593F" w:rsidTr="0021593F">
        <w:tc>
          <w:tcPr>
            <w:tcW w:w="727" w:type="dxa"/>
            <w:vAlign w:val="bottom"/>
          </w:tcPr>
          <w:p w:rsidR="0021593F" w:rsidRPr="0021593F" w:rsidRDefault="0021593F" w:rsidP="00787C1B">
            <w:pPr>
              <w:jc w:val="center"/>
              <w:rPr>
                <w:rFonts w:ascii="Times New Roman" w:hAnsi="Times New Roman" w:cs="Times New Roman"/>
                <w:sz w:val="18"/>
                <w:szCs w:val="18"/>
              </w:rPr>
            </w:pPr>
            <w:r w:rsidRPr="0021593F">
              <w:rPr>
                <w:rFonts w:ascii="Times New Roman" w:hAnsi="Times New Roman" w:cs="Times New Roman"/>
                <w:sz w:val="18"/>
                <w:szCs w:val="18"/>
              </w:rPr>
              <w:t>6</w:t>
            </w:r>
          </w:p>
        </w:tc>
        <w:tc>
          <w:tcPr>
            <w:tcW w:w="1879" w:type="dxa"/>
            <w:vAlign w:val="bottom"/>
          </w:tcPr>
          <w:p w:rsidR="0021593F" w:rsidRPr="0021593F" w:rsidRDefault="0021593F" w:rsidP="00787C1B">
            <w:pPr>
              <w:rPr>
                <w:rFonts w:ascii="Times New Roman" w:hAnsi="Times New Roman" w:cs="Times New Roman"/>
                <w:sz w:val="18"/>
                <w:szCs w:val="18"/>
              </w:rPr>
            </w:pPr>
            <w:r w:rsidRPr="0021593F">
              <w:rPr>
                <w:rFonts w:ascii="Times New Roman" w:hAnsi="Times New Roman" w:cs="Times New Roman"/>
                <w:sz w:val="18"/>
                <w:szCs w:val="18"/>
              </w:rPr>
              <w:t>Energetický a průmyslový holding, a.s.</w:t>
            </w:r>
          </w:p>
        </w:tc>
        <w:tc>
          <w:tcPr>
            <w:tcW w:w="981"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124 720 633</w:t>
            </w:r>
          </w:p>
        </w:tc>
        <w:tc>
          <w:tcPr>
            <w:tcW w:w="1590"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12%</w:t>
            </w:r>
          </w:p>
        </w:tc>
      </w:tr>
      <w:tr w:rsidR="0021593F" w:rsidTr="0021593F">
        <w:tc>
          <w:tcPr>
            <w:tcW w:w="727" w:type="dxa"/>
            <w:vAlign w:val="bottom"/>
          </w:tcPr>
          <w:p w:rsidR="0021593F" w:rsidRPr="0021593F" w:rsidRDefault="0021593F" w:rsidP="00787C1B">
            <w:pPr>
              <w:jc w:val="center"/>
              <w:rPr>
                <w:rFonts w:ascii="Times New Roman" w:hAnsi="Times New Roman" w:cs="Times New Roman"/>
                <w:sz w:val="18"/>
                <w:szCs w:val="18"/>
              </w:rPr>
            </w:pPr>
            <w:r w:rsidRPr="0021593F">
              <w:rPr>
                <w:rFonts w:ascii="Times New Roman" w:hAnsi="Times New Roman" w:cs="Times New Roman"/>
                <w:sz w:val="18"/>
                <w:szCs w:val="18"/>
              </w:rPr>
              <w:t>7</w:t>
            </w:r>
          </w:p>
        </w:tc>
        <w:tc>
          <w:tcPr>
            <w:tcW w:w="1879" w:type="dxa"/>
            <w:vAlign w:val="bottom"/>
          </w:tcPr>
          <w:p w:rsidR="0021593F" w:rsidRPr="0021593F" w:rsidRDefault="0021593F" w:rsidP="00787C1B">
            <w:pPr>
              <w:rPr>
                <w:rFonts w:ascii="Times New Roman" w:hAnsi="Times New Roman" w:cs="Times New Roman"/>
                <w:sz w:val="18"/>
                <w:szCs w:val="18"/>
              </w:rPr>
            </w:pPr>
            <w:r w:rsidRPr="0021593F">
              <w:rPr>
                <w:rFonts w:ascii="Times New Roman" w:hAnsi="Times New Roman" w:cs="Times New Roman"/>
                <w:sz w:val="18"/>
                <w:szCs w:val="18"/>
              </w:rPr>
              <w:t>UNIPETROL, a.s.</w:t>
            </w:r>
          </w:p>
        </w:tc>
        <w:tc>
          <w:tcPr>
            <w:tcW w:w="981"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108 907 000</w:t>
            </w:r>
          </w:p>
        </w:tc>
        <w:tc>
          <w:tcPr>
            <w:tcW w:w="1590"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13%</w:t>
            </w:r>
          </w:p>
        </w:tc>
      </w:tr>
      <w:tr w:rsidR="0021593F" w:rsidTr="0021593F">
        <w:tc>
          <w:tcPr>
            <w:tcW w:w="727" w:type="dxa"/>
            <w:vAlign w:val="bottom"/>
          </w:tcPr>
          <w:p w:rsidR="0021593F" w:rsidRPr="0021593F" w:rsidRDefault="0021593F" w:rsidP="00787C1B">
            <w:pPr>
              <w:jc w:val="center"/>
              <w:rPr>
                <w:rFonts w:ascii="Times New Roman" w:hAnsi="Times New Roman" w:cs="Times New Roman"/>
                <w:sz w:val="18"/>
                <w:szCs w:val="18"/>
              </w:rPr>
            </w:pPr>
            <w:r w:rsidRPr="0021593F">
              <w:rPr>
                <w:rFonts w:ascii="Times New Roman" w:hAnsi="Times New Roman" w:cs="Times New Roman"/>
                <w:sz w:val="18"/>
                <w:szCs w:val="18"/>
              </w:rPr>
              <w:t>8</w:t>
            </w:r>
          </w:p>
        </w:tc>
        <w:tc>
          <w:tcPr>
            <w:tcW w:w="1879" w:type="dxa"/>
            <w:vAlign w:val="bottom"/>
          </w:tcPr>
          <w:p w:rsidR="0021593F" w:rsidRPr="0021593F" w:rsidRDefault="0021593F" w:rsidP="00787C1B">
            <w:pPr>
              <w:rPr>
                <w:rFonts w:ascii="Times New Roman" w:hAnsi="Times New Roman" w:cs="Times New Roman"/>
                <w:sz w:val="18"/>
                <w:szCs w:val="18"/>
              </w:rPr>
            </w:pPr>
            <w:r w:rsidRPr="0021593F">
              <w:rPr>
                <w:rFonts w:ascii="Times New Roman" w:hAnsi="Times New Roman" w:cs="Times New Roman"/>
                <w:sz w:val="18"/>
                <w:szCs w:val="18"/>
              </w:rPr>
              <w:t>BOSCH Group ČR</w:t>
            </w:r>
          </w:p>
        </w:tc>
        <w:tc>
          <w:tcPr>
            <w:tcW w:w="981"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48 400 000</w:t>
            </w:r>
          </w:p>
        </w:tc>
        <w:tc>
          <w:tcPr>
            <w:tcW w:w="1590"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14%</w:t>
            </w:r>
          </w:p>
        </w:tc>
      </w:tr>
      <w:tr w:rsidR="0021593F" w:rsidTr="0021593F">
        <w:tc>
          <w:tcPr>
            <w:tcW w:w="727" w:type="dxa"/>
            <w:vAlign w:val="bottom"/>
          </w:tcPr>
          <w:p w:rsidR="0021593F" w:rsidRPr="0021593F" w:rsidRDefault="0021593F" w:rsidP="00787C1B">
            <w:pPr>
              <w:jc w:val="center"/>
              <w:rPr>
                <w:rFonts w:ascii="Times New Roman" w:hAnsi="Times New Roman" w:cs="Times New Roman"/>
                <w:sz w:val="18"/>
                <w:szCs w:val="18"/>
              </w:rPr>
            </w:pPr>
            <w:r w:rsidRPr="0021593F">
              <w:rPr>
                <w:rFonts w:ascii="Times New Roman" w:hAnsi="Times New Roman" w:cs="Times New Roman"/>
                <w:sz w:val="18"/>
                <w:szCs w:val="18"/>
              </w:rPr>
              <w:t>9</w:t>
            </w:r>
          </w:p>
        </w:tc>
        <w:tc>
          <w:tcPr>
            <w:tcW w:w="1879" w:type="dxa"/>
            <w:vAlign w:val="bottom"/>
          </w:tcPr>
          <w:p w:rsidR="0021593F" w:rsidRPr="0021593F" w:rsidRDefault="0021593F" w:rsidP="00787C1B">
            <w:pPr>
              <w:rPr>
                <w:rFonts w:ascii="Times New Roman" w:hAnsi="Times New Roman" w:cs="Times New Roman"/>
                <w:sz w:val="18"/>
                <w:szCs w:val="18"/>
              </w:rPr>
            </w:pPr>
            <w:r w:rsidRPr="0021593F">
              <w:rPr>
                <w:rFonts w:ascii="Times New Roman" w:hAnsi="Times New Roman" w:cs="Times New Roman"/>
                <w:sz w:val="18"/>
                <w:szCs w:val="18"/>
              </w:rPr>
              <w:t>AHOLD Czech Republic, a.s.</w:t>
            </w:r>
          </w:p>
        </w:tc>
        <w:tc>
          <w:tcPr>
            <w:tcW w:w="981"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48 300 000</w:t>
            </w:r>
          </w:p>
        </w:tc>
        <w:tc>
          <w:tcPr>
            <w:tcW w:w="1590"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14%</w:t>
            </w:r>
          </w:p>
        </w:tc>
      </w:tr>
      <w:tr w:rsidR="0021593F" w:rsidTr="0021593F">
        <w:tc>
          <w:tcPr>
            <w:tcW w:w="727" w:type="dxa"/>
            <w:vAlign w:val="bottom"/>
          </w:tcPr>
          <w:p w:rsidR="0021593F" w:rsidRPr="0021593F" w:rsidRDefault="0021593F" w:rsidP="00787C1B">
            <w:pPr>
              <w:jc w:val="center"/>
              <w:rPr>
                <w:rFonts w:ascii="Times New Roman" w:hAnsi="Times New Roman" w:cs="Times New Roman"/>
                <w:sz w:val="18"/>
                <w:szCs w:val="18"/>
              </w:rPr>
            </w:pPr>
            <w:r w:rsidRPr="0021593F">
              <w:rPr>
                <w:rFonts w:ascii="Times New Roman" w:hAnsi="Times New Roman" w:cs="Times New Roman"/>
                <w:sz w:val="18"/>
                <w:szCs w:val="18"/>
              </w:rPr>
              <w:t>10</w:t>
            </w:r>
          </w:p>
        </w:tc>
        <w:tc>
          <w:tcPr>
            <w:tcW w:w="1879" w:type="dxa"/>
            <w:vAlign w:val="bottom"/>
          </w:tcPr>
          <w:p w:rsidR="0021593F" w:rsidRPr="0021593F" w:rsidRDefault="0021593F" w:rsidP="00787C1B">
            <w:pPr>
              <w:rPr>
                <w:rFonts w:ascii="Times New Roman" w:hAnsi="Times New Roman" w:cs="Times New Roman"/>
                <w:sz w:val="18"/>
                <w:szCs w:val="18"/>
              </w:rPr>
            </w:pPr>
            <w:r w:rsidRPr="0021593F">
              <w:rPr>
                <w:rFonts w:ascii="Times New Roman" w:hAnsi="Times New Roman" w:cs="Times New Roman"/>
                <w:sz w:val="18"/>
                <w:szCs w:val="18"/>
              </w:rPr>
              <w:t>České dráhy, a.s.</w:t>
            </w:r>
          </w:p>
        </w:tc>
        <w:tc>
          <w:tcPr>
            <w:tcW w:w="981"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37 834 721</w:t>
            </w:r>
          </w:p>
        </w:tc>
        <w:tc>
          <w:tcPr>
            <w:tcW w:w="1590" w:type="dxa"/>
            <w:vAlign w:val="bottom"/>
          </w:tcPr>
          <w:p w:rsidR="0021593F" w:rsidRPr="0021593F" w:rsidRDefault="0021593F" w:rsidP="00787C1B">
            <w:pPr>
              <w:jc w:val="right"/>
              <w:rPr>
                <w:rFonts w:ascii="Times New Roman" w:hAnsi="Times New Roman" w:cs="Times New Roman"/>
                <w:sz w:val="18"/>
                <w:szCs w:val="18"/>
              </w:rPr>
            </w:pPr>
            <w:r w:rsidRPr="0021593F">
              <w:rPr>
                <w:rFonts w:ascii="Times New Roman" w:hAnsi="Times New Roman" w:cs="Times New Roman"/>
                <w:sz w:val="18"/>
                <w:szCs w:val="18"/>
              </w:rPr>
              <w:t>14%</w:t>
            </w:r>
          </w:p>
        </w:tc>
      </w:tr>
    </w:tbl>
    <w:p w:rsidR="0021593F" w:rsidRPr="0021593F" w:rsidRDefault="0021593F" w:rsidP="0021593F">
      <w:pPr>
        <w:pStyle w:val="Titulek"/>
        <w:keepNext/>
        <w:rPr>
          <w:rFonts w:ascii="Times New Roman" w:eastAsiaTheme="minorHAnsi" w:hAnsi="Times New Roman" w:cs="Times New Roman"/>
          <w:b w:val="0"/>
          <w:bCs w:val="0"/>
          <w:color w:val="auto"/>
          <w:lang w:eastAsia="en-US"/>
        </w:rPr>
      </w:pPr>
      <w:r w:rsidRPr="0021593F">
        <w:rPr>
          <w:rFonts w:ascii="Times New Roman" w:eastAsiaTheme="minorHAnsi" w:hAnsi="Times New Roman" w:cs="Times New Roman"/>
          <w:b w:val="0"/>
          <w:bCs w:val="0"/>
          <w:color w:val="auto"/>
          <w:lang w:eastAsia="en-US"/>
        </w:rPr>
        <w:t xml:space="preserve">Tabulka </w:t>
      </w:r>
      <w:r w:rsidRPr="0021593F">
        <w:rPr>
          <w:rFonts w:ascii="Times New Roman" w:eastAsiaTheme="minorHAnsi" w:hAnsi="Times New Roman" w:cs="Times New Roman"/>
          <w:b w:val="0"/>
          <w:bCs w:val="0"/>
          <w:color w:val="auto"/>
          <w:lang w:eastAsia="en-US"/>
        </w:rPr>
        <w:fldChar w:fldCharType="begin"/>
      </w:r>
      <w:r w:rsidRPr="0021593F">
        <w:rPr>
          <w:rFonts w:ascii="Times New Roman" w:eastAsiaTheme="minorHAnsi" w:hAnsi="Times New Roman" w:cs="Times New Roman"/>
          <w:b w:val="0"/>
          <w:bCs w:val="0"/>
          <w:color w:val="auto"/>
          <w:lang w:eastAsia="en-US"/>
        </w:rPr>
        <w:instrText xml:space="preserve"> SEQ Tabulka \* ARABIC </w:instrText>
      </w:r>
      <w:r w:rsidRPr="0021593F">
        <w:rPr>
          <w:rFonts w:ascii="Times New Roman" w:eastAsiaTheme="minorHAnsi" w:hAnsi="Times New Roman" w:cs="Times New Roman"/>
          <w:b w:val="0"/>
          <w:bCs w:val="0"/>
          <w:color w:val="auto"/>
          <w:lang w:eastAsia="en-US"/>
        </w:rPr>
        <w:fldChar w:fldCharType="separate"/>
      </w:r>
      <w:r w:rsidRPr="0021593F">
        <w:rPr>
          <w:rFonts w:ascii="Times New Roman" w:eastAsiaTheme="minorHAnsi" w:hAnsi="Times New Roman" w:cs="Times New Roman"/>
          <w:b w:val="0"/>
          <w:bCs w:val="0"/>
          <w:color w:val="auto"/>
          <w:lang w:eastAsia="en-US"/>
        </w:rPr>
        <w:t>1</w:t>
      </w:r>
      <w:r w:rsidRPr="0021593F">
        <w:rPr>
          <w:rFonts w:ascii="Times New Roman" w:eastAsiaTheme="minorHAnsi" w:hAnsi="Times New Roman" w:cs="Times New Roman"/>
          <w:b w:val="0"/>
          <w:bCs w:val="0"/>
          <w:color w:val="auto"/>
          <w:lang w:eastAsia="en-US"/>
        </w:rPr>
        <w:fldChar w:fldCharType="end"/>
      </w:r>
      <w:r w:rsidRPr="0021593F">
        <w:rPr>
          <w:rFonts w:ascii="Times New Roman" w:eastAsiaTheme="minorHAnsi" w:hAnsi="Times New Roman" w:cs="Times New Roman"/>
          <w:b w:val="0"/>
          <w:bCs w:val="0"/>
          <w:color w:val="auto"/>
          <w:lang w:eastAsia="en-US"/>
        </w:rPr>
        <w:t xml:space="preserve">: Deset největších společností v České republice dle tržeb </w:t>
      </w:r>
      <w:r w:rsidR="00FB4323">
        <w:rPr>
          <w:rFonts w:ascii="Times New Roman" w:hAnsi="Times New Roman" w:cs="Times New Roman"/>
          <w:b w:val="0"/>
          <w:bCs w:val="0"/>
          <w:color w:val="auto"/>
        </w:rPr>
        <w:t xml:space="preserve">  </w:t>
      </w:r>
      <w:r w:rsidRPr="0021593F">
        <w:rPr>
          <w:rFonts w:ascii="Times New Roman" w:eastAsiaTheme="minorHAnsi" w:hAnsi="Times New Roman" w:cs="Times New Roman"/>
          <w:b w:val="0"/>
          <w:bCs w:val="0"/>
          <w:color w:val="auto"/>
          <w:lang w:eastAsia="en-US"/>
        </w:rPr>
        <w:t>v roce 2015</w:t>
      </w:r>
    </w:p>
    <w:p w:rsidR="00FB4323" w:rsidRPr="00FB4323" w:rsidRDefault="00FB4323" w:rsidP="00FB4323">
      <w:pPr>
        <w:spacing w:line="240" w:lineRule="auto"/>
        <w:jc w:val="both"/>
        <w:rPr>
          <w:rFonts w:ascii="Times New Roman" w:hAnsi="Times New Roman" w:cs="Times New Roman"/>
          <w:sz w:val="18"/>
          <w:szCs w:val="18"/>
        </w:rPr>
      </w:pPr>
      <w:r w:rsidRPr="00FB4323">
        <w:rPr>
          <w:rFonts w:ascii="Times New Roman" w:hAnsi="Times New Roman" w:cs="Times New Roman"/>
          <w:sz w:val="18"/>
          <w:szCs w:val="18"/>
        </w:rPr>
        <w:t>Pokud vyhodnotíme 100 největším firem v České republice dle tržeb, dojdeme k závěru, že se na celkové tržní produkci podílí 26 %. Hranice 25 % je přitom dosažena již u podniku na 74. místě, který dosahuje tržeb 5,1 miliard Kč. Pokud do analýzy přidáváme další podniky, nárůst k tržní produkci je již jen pozvolný (obrázek č. 1).</w:t>
      </w:r>
    </w:p>
    <w:p w:rsidR="0021593F" w:rsidRDefault="00FB4323" w:rsidP="00320C11">
      <w:pPr>
        <w:spacing w:after="0" w:line="240" w:lineRule="auto"/>
        <w:jc w:val="both"/>
        <w:rPr>
          <w:rFonts w:ascii="Times New Roman" w:hAnsi="Times New Roman" w:cs="Times New Roman"/>
          <w:sz w:val="18"/>
          <w:szCs w:val="18"/>
        </w:rPr>
      </w:pPr>
      <w:r w:rsidRPr="00F7724E">
        <w:rPr>
          <w:noProof/>
        </w:rPr>
        <w:drawing>
          <wp:inline distT="0" distB="0" distL="0" distR="0" wp14:anchorId="47533089" wp14:editId="5D79DF9E">
            <wp:extent cx="3150235" cy="1630116"/>
            <wp:effectExtent l="0" t="0" r="0" b="8255"/>
            <wp:docPr id="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4323" w:rsidRPr="00FB4323" w:rsidRDefault="00FB4323" w:rsidP="00FB4323">
      <w:pPr>
        <w:pStyle w:val="Titulek"/>
        <w:rPr>
          <w:rFonts w:ascii="Times New Roman" w:eastAsiaTheme="minorHAnsi" w:hAnsi="Times New Roman" w:cs="Times New Roman"/>
          <w:b w:val="0"/>
          <w:bCs w:val="0"/>
          <w:color w:val="auto"/>
          <w:lang w:eastAsia="en-US"/>
        </w:rPr>
      </w:pPr>
      <w:r w:rsidRPr="00FB4323">
        <w:rPr>
          <w:rFonts w:ascii="Times New Roman" w:eastAsiaTheme="minorHAnsi" w:hAnsi="Times New Roman" w:cs="Times New Roman"/>
          <w:b w:val="0"/>
          <w:bCs w:val="0"/>
          <w:color w:val="auto"/>
          <w:lang w:eastAsia="en-US"/>
        </w:rPr>
        <w:t xml:space="preserve">Obrázek </w:t>
      </w:r>
      <w:r w:rsidRPr="00FB4323">
        <w:rPr>
          <w:rFonts w:ascii="Times New Roman" w:eastAsiaTheme="minorHAnsi" w:hAnsi="Times New Roman" w:cs="Times New Roman"/>
          <w:b w:val="0"/>
          <w:bCs w:val="0"/>
          <w:color w:val="auto"/>
          <w:lang w:eastAsia="en-US"/>
        </w:rPr>
        <w:fldChar w:fldCharType="begin"/>
      </w:r>
      <w:r w:rsidRPr="00FB4323">
        <w:rPr>
          <w:rFonts w:ascii="Times New Roman" w:eastAsiaTheme="minorHAnsi" w:hAnsi="Times New Roman" w:cs="Times New Roman"/>
          <w:b w:val="0"/>
          <w:bCs w:val="0"/>
          <w:color w:val="auto"/>
          <w:lang w:eastAsia="en-US"/>
        </w:rPr>
        <w:instrText xml:space="preserve"> SEQ Obrázek \* ARABIC </w:instrText>
      </w:r>
      <w:r w:rsidRPr="00FB4323">
        <w:rPr>
          <w:rFonts w:ascii="Times New Roman" w:eastAsiaTheme="minorHAnsi" w:hAnsi="Times New Roman" w:cs="Times New Roman"/>
          <w:b w:val="0"/>
          <w:bCs w:val="0"/>
          <w:color w:val="auto"/>
          <w:lang w:eastAsia="en-US"/>
        </w:rPr>
        <w:fldChar w:fldCharType="separate"/>
      </w:r>
      <w:r w:rsidRPr="00FB4323">
        <w:rPr>
          <w:rFonts w:ascii="Times New Roman" w:eastAsiaTheme="minorHAnsi" w:hAnsi="Times New Roman" w:cs="Times New Roman"/>
          <w:b w:val="0"/>
          <w:bCs w:val="0"/>
          <w:color w:val="auto"/>
          <w:lang w:eastAsia="en-US"/>
        </w:rPr>
        <w:t>1</w:t>
      </w:r>
      <w:r w:rsidRPr="00FB4323">
        <w:rPr>
          <w:rFonts w:ascii="Times New Roman" w:eastAsiaTheme="minorHAnsi" w:hAnsi="Times New Roman" w:cs="Times New Roman"/>
          <w:b w:val="0"/>
          <w:bCs w:val="0"/>
          <w:color w:val="auto"/>
          <w:lang w:eastAsia="en-US"/>
        </w:rPr>
        <w:fldChar w:fldCharType="end"/>
      </w:r>
      <w:r w:rsidRPr="00FB4323">
        <w:rPr>
          <w:rFonts w:ascii="Times New Roman" w:eastAsiaTheme="minorHAnsi" w:hAnsi="Times New Roman" w:cs="Times New Roman"/>
          <w:b w:val="0"/>
          <w:bCs w:val="0"/>
          <w:color w:val="auto"/>
          <w:lang w:eastAsia="en-US"/>
        </w:rPr>
        <w:t>: Počet firem a jejich podíl na tržní produkci ČR v roce 2015</w:t>
      </w:r>
    </w:p>
    <w:p w:rsidR="00FB4323" w:rsidRDefault="00FB4323" w:rsidP="00FB4323">
      <w:pPr>
        <w:spacing w:line="240" w:lineRule="auto"/>
        <w:jc w:val="both"/>
      </w:pPr>
      <w:r w:rsidRPr="00FB4323">
        <w:rPr>
          <w:rFonts w:ascii="Times New Roman" w:hAnsi="Times New Roman" w:cs="Times New Roman"/>
          <w:sz w:val="18"/>
          <w:szCs w:val="18"/>
        </w:rPr>
        <w:t>Podíl deseti největších podniků ve vztahu k celkové tržní produkci v České republice v posledních letech mírně roste. Před deseti lety v roce 2005 deset největších českých firem vytvořilo 12 % tržní produkce v České republice (tabulka č. 2). Stejně jako v roce 2015 byla v roce 2005 nejsilnější firma na českém trhu ŠKODA AUTO následovaná společností ČEZ. Během</w:t>
      </w:r>
      <w:r w:rsidRPr="00A7392B">
        <w:t xml:space="preserve"> </w:t>
      </w:r>
      <w:r w:rsidRPr="00FB4323">
        <w:rPr>
          <w:rFonts w:ascii="Times New Roman" w:hAnsi="Times New Roman" w:cs="Times New Roman"/>
          <w:sz w:val="18"/>
          <w:szCs w:val="18"/>
        </w:rPr>
        <w:t xml:space="preserve">deseti let si v žebříčku polepšila společnost AGROFERT, která v roce 2005 byla na pátém místě. Naopak si pohoršila společnost UNIPETROL, která se v roce 2005 umístila na třetím místě. V roce 2016 ovšem společnost UNIPETROL zažila díky investicím výrazný růst tržeb a lze tak </w:t>
      </w:r>
      <w:r w:rsidRPr="00FB4323">
        <w:rPr>
          <w:rFonts w:ascii="Times New Roman" w:hAnsi="Times New Roman" w:cs="Times New Roman"/>
          <w:sz w:val="18"/>
          <w:szCs w:val="18"/>
        </w:rPr>
        <w:lastRenderedPageBreak/>
        <w:t>v příštích letech očekávat její oživení, které se již projevilo na výrazném růstu cen akcií.</w:t>
      </w:r>
    </w:p>
    <w:tbl>
      <w:tblPr>
        <w:tblStyle w:val="Mkatabulky"/>
        <w:tblW w:w="0" w:type="auto"/>
        <w:tblLook w:val="04A0" w:firstRow="1" w:lastRow="0" w:firstColumn="1" w:lastColumn="0" w:noHBand="0" w:noVBand="1"/>
      </w:tblPr>
      <w:tblGrid>
        <w:gridCol w:w="724"/>
        <w:gridCol w:w="1828"/>
        <w:gridCol w:w="1064"/>
        <w:gridCol w:w="1561"/>
      </w:tblGrid>
      <w:tr w:rsidR="00FB4323" w:rsidTr="00FB4323">
        <w:tc>
          <w:tcPr>
            <w:tcW w:w="724" w:type="dxa"/>
            <w:vAlign w:val="bottom"/>
          </w:tcPr>
          <w:p w:rsidR="00FB4323" w:rsidRPr="00FB4323" w:rsidRDefault="00FB4323" w:rsidP="00787C1B">
            <w:pPr>
              <w:jc w:val="center"/>
              <w:rPr>
                <w:rFonts w:ascii="Times New Roman" w:hAnsi="Times New Roman" w:cs="Times New Roman"/>
                <w:sz w:val="18"/>
                <w:szCs w:val="18"/>
              </w:rPr>
            </w:pPr>
            <w:r w:rsidRPr="00FB4323">
              <w:rPr>
                <w:rFonts w:ascii="Times New Roman" w:hAnsi="Times New Roman" w:cs="Times New Roman"/>
                <w:sz w:val="18"/>
                <w:szCs w:val="18"/>
              </w:rPr>
              <w:t>Pořadí</w:t>
            </w:r>
          </w:p>
        </w:tc>
        <w:tc>
          <w:tcPr>
            <w:tcW w:w="1828" w:type="dxa"/>
            <w:vAlign w:val="bottom"/>
          </w:tcPr>
          <w:p w:rsidR="00FB4323" w:rsidRPr="00FB4323" w:rsidRDefault="00FB4323" w:rsidP="00787C1B">
            <w:pPr>
              <w:rPr>
                <w:rFonts w:ascii="Times New Roman" w:hAnsi="Times New Roman" w:cs="Times New Roman"/>
                <w:sz w:val="18"/>
                <w:szCs w:val="18"/>
              </w:rPr>
            </w:pPr>
            <w:r w:rsidRPr="00FB4323">
              <w:rPr>
                <w:rFonts w:ascii="Times New Roman" w:hAnsi="Times New Roman" w:cs="Times New Roman"/>
                <w:sz w:val="18"/>
                <w:szCs w:val="18"/>
              </w:rPr>
              <w:t>Název společnosti</w:t>
            </w:r>
          </w:p>
        </w:tc>
        <w:tc>
          <w:tcPr>
            <w:tcW w:w="1064"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Tržby v roce 2005 (tis. Kč)</w:t>
            </w:r>
          </w:p>
        </w:tc>
        <w:tc>
          <w:tcPr>
            <w:tcW w:w="1561"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Akumulovaný podíl k tržní produkci v roce 2005</w:t>
            </w:r>
          </w:p>
        </w:tc>
      </w:tr>
      <w:tr w:rsidR="00FB4323" w:rsidRPr="005028D6" w:rsidTr="00FB4323">
        <w:tc>
          <w:tcPr>
            <w:tcW w:w="724" w:type="dxa"/>
            <w:vAlign w:val="bottom"/>
          </w:tcPr>
          <w:p w:rsidR="00FB4323" w:rsidRPr="00FB4323" w:rsidRDefault="00FB4323" w:rsidP="00787C1B">
            <w:pPr>
              <w:jc w:val="center"/>
              <w:rPr>
                <w:rFonts w:ascii="Times New Roman" w:hAnsi="Times New Roman" w:cs="Times New Roman"/>
                <w:sz w:val="18"/>
                <w:szCs w:val="18"/>
              </w:rPr>
            </w:pPr>
            <w:r w:rsidRPr="00FB4323">
              <w:rPr>
                <w:rFonts w:ascii="Times New Roman" w:hAnsi="Times New Roman" w:cs="Times New Roman"/>
                <w:sz w:val="18"/>
                <w:szCs w:val="18"/>
              </w:rPr>
              <w:t>1</w:t>
            </w:r>
          </w:p>
        </w:tc>
        <w:tc>
          <w:tcPr>
            <w:tcW w:w="1828" w:type="dxa"/>
            <w:vAlign w:val="bottom"/>
          </w:tcPr>
          <w:p w:rsidR="00FB4323" w:rsidRPr="00FB4323" w:rsidRDefault="00FB4323" w:rsidP="00787C1B">
            <w:pPr>
              <w:rPr>
                <w:rFonts w:ascii="Times New Roman" w:hAnsi="Times New Roman" w:cs="Times New Roman"/>
                <w:sz w:val="18"/>
                <w:szCs w:val="18"/>
              </w:rPr>
            </w:pPr>
            <w:r w:rsidRPr="00FB4323">
              <w:rPr>
                <w:rFonts w:ascii="Times New Roman" w:hAnsi="Times New Roman" w:cs="Times New Roman"/>
                <w:sz w:val="18"/>
                <w:szCs w:val="18"/>
              </w:rPr>
              <w:t>ŠKODA AUTO a.s.</w:t>
            </w:r>
          </w:p>
        </w:tc>
        <w:tc>
          <w:tcPr>
            <w:tcW w:w="1064" w:type="dxa"/>
            <w:vAlign w:val="bottom"/>
          </w:tcPr>
          <w:p w:rsidR="00FB4323" w:rsidRDefault="00FB4323" w:rsidP="00FB4323">
            <w:pPr>
              <w:rPr>
                <w:rFonts w:ascii="Times New Roman" w:hAnsi="Times New Roman" w:cs="Times New Roman"/>
                <w:sz w:val="18"/>
                <w:szCs w:val="18"/>
              </w:rPr>
            </w:pPr>
            <w:r>
              <w:rPr>
                <w:rFonts w:ascii="Times New Roman" w:hAnsi="Times New Roman" w:cs="Times New Roman"/>
                <w:sz w:val="18"/>
                <w:szCs w:val="18"/>
              </w:rPr>
              <w:t xml:space="preserve">     </w:t>
            </w:r>
            <w:r w:rsidRPr="00FB4323">
              <w:rPr>
                <w:rFonts w:ascii="Times New Roman" w:hAnsi="Times New Roman" w:cs="Times New Roman"/>
                <w:sz w:val="18"/>
                <w:szCs w:val="18"/>
              </w:rPr>
              <w:t>187</w:t>
            </w:r>
            <w:r>
              <w:rPr>
                <w:rFonts w:ascii="Times New Roman" w:hAnsi="Times New Roman" w:cs="Times New Roman"/>
                <w:sz w:val="18"/>
                <w:szCs w:val="18"/>
              </w:rPr>
              <w:t> </w:t>
            </w:r>
            <w:r w:rsidRPr="00FB4323">
              <w:rPr>
                <w:rFonts w:ascii="Times New Roman" w:hAnsi="Times New Roman" w:cs="Times New Roman"/>
                <w:sz w:val="18"/>
                <w:szCs w:val="18"/>
              </w:rPr>
              <w:t xml:space="preserve">000 </w:t>
            </w:r>
          </w:p>
          <w:p w:rsidR="00FB4323" w:rsidRPr="00FB4323" w:rsidRDefault="00FB4323" w:rsidP="00FB4323">
            <w:pPr>
              <w:rPr>
                <w:rFonts w:ascii="Times New Roman" w:hAnsi="Times New Roman" w:cs="Times New Roman"/>
                <w:sz w:val="18"/>
                <w:szCs w:val="18"/>
              </w:rPr>
            </w:pPr>
            <w:r>
              <w:rPr>
                <w:rFonts w:ascii="Times New Roman" w:hAnsi="Times New Roman" w:cs="Times New Roman"/>
                <w:sz w:val="18"/>
                <w:szCs w:val="18"/>
              </w:rPr>
              <w:t xml:space="preserve">            </w:t>
            </w:r>
            <w:r w:rsidRPr="00FB4323">
              <w:rPr>
                <w:rFonts w:ascii="Times New Roman" w:hAnsi="Times New Roman" w:cs="Times New Roman"/>
                <w:sz w:val="18"/>
                <w:szCs w:val="18"/>
              </w:rPr>
              <w:t>000</w:t>
            </w:r>
          </w:p>
        </w:tc>
        <w:tc>
          <w:tcPr>
            <w:tcW w:w="1561"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3%</w:t>
            </w:r>
          </w:p>
        </w:tc>
      </w:tr>
      <w:tr w:rsidR="00FB4323" w:rsidRPr="005028D6" w:rsidTr="00FB4323">
        <w:tc>
          <w:tcPr>
            <w:tcW w:w="724" w:type="dxa"/>
            <w:vAlign w:val="bottom"/>
          </w:tcPr>
          <w:p w:rsidR="00FB4323" w:rsidRPr="00FB4323" w:rsidRDefault="00FB4323" w:rsidP="00787C1B">
            <w:pPr>
              <w:jc w:val="center"/>
              <w:rPr>
                <w:rFonts w:ascii="Times New Roman" w:hAnsi="Times New Roman" w:cs="Times New Roman"/>
                <w:sz w:val="18"/>
                <w:szCs w:val="18"/>
              </w:rPr>
            </w:pPr>
            <w:r w:rsidRPr="00FB4323">
              <w:rPr>
                <w:rFonts w:ascii="Times New Roman" w:hAnsi="Times New Roman" w:cs="Times New Roman"/>
                <w:sz w:val="18"/>
                <w:szCs w:val="18"/>
              </w:rPr>
              <w:t>2</w:t>
            </w:r>
          </w:p>
        </w:tc>
        <w:tc>
          <w:tcPr>
            <w:tcW w:w="1828" w:type="dxa"/>
            <w:vAlign w:val="bottom"/>
          </w:tcPr>
          <w:p w:rsidR="00FB4323" w:rsidRPr="00FB4323" w:rsidRDefault="00FB4323" w:rsidP="00787C1B">
            <w:pPr>
              <w:rPr>
                <w:rFonts w:ascii="Times New Roman" w:hAnsi="Times New Roman" w:cs="Times New Roman"/>
                <w:sz w:val="18"/>
                <w:szCs w:val="18"/>
              </w:rPr>
            </w:pPr>
            <w:r w:rsidRPr="00FB4323">
              <w:rPr>
                <w:rFonts w:ascii="Times New Roman" w:hAnsi="Times New Roman" w:cs="Times New Roman"/>
                <w:sz w:val="18"/>
                <w:szCs w:val="18"/>
              </w:rPr>
              <w:t>ČEZ a.s.</w:t>
            </w:r>
          </w:p>
        </w:tc>
        <w:tc>
          <w:tcPr>
            <w:tcW w:w="1064"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125 000 000</w:t>
            </w:r>
          </w:p>
        </w:tc>
        <w:tc>
          <w:tcPr>
            <w:tcW w:w="1561"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5%</w:t>
            </w:r>
          </w:p>
        </w:tc>
      </w:tr>
      <w:tr w:rsidR="00FB4323" w:rsidRPr="005028D6" w:rsidTr="00FB4323">
        <w:tc>
          <w:tcPr>
            <w:tcW w:w="724" w:type="dxa"/>
            <w:vAlign w:val="bottom"/>
          </w:tcPr>
          <w:p w:rsidR="00FB4323" w:rsidRPr="00FB4323" w:rsidRDefault="00FB4323" w:rsidP="00787C1B">
            <w:pPr>
              <w:jc w:val="center"/>
              <w:rPr>
                <w:rFonts w:ascii="Times New Roman" w:hAnsi="Times New Roman" w:cs="Times New Roman"/>
                <w:sz w:val="18"/>
                <w:szCs w:val="18"/>
              </w:rPr>
            </w:pPr>
            <w:r w:rsidRPr="00FB4323">
              <w:rPr>
                <w:rFonts w:ascii="Times New Roman" w:hAnsi="Times New Roman" w:cs="Times New Roman"/>
                <w:sz w:val="18"/>
                <w:szCs w:val="18"/>
              </w:rPr>
              <w:t>3</w:t>
            </w:r>
          </w:p>
        </w:tc>
        <w:tc>
          <w:tcPr>
            <w:tcW w:w="1828" w:type="dxa"/>
            <w:vAlign w:val="bottom"/>
          </w:tcPr>
          <w:p w:rsidR="00FB4323" w:rsidRPr="00FB4323" w:rsidRDefault="00FB4323" w:rsidP="00787C1B">
            <w:pPr>
              <w:rPr>
                <w:rFonts w:ascii="Times New Roman" w:hAnsi="Times New Roman" w:cs="Times New Roman"/>
                <w:sz w:val="18"/>
                <w:szCs w:val="18"/>
              </w:rPr>
            </w:pPr>
            <w:r w:rsidRPr="00FB4323">
              <w:rPr>
                <w:rFonts w:ascii="Times New Roman" w:hAnsi="Times New Roman" w:cs="Times New Roman"/>
                <w:sz w:val="18"/>
                <w:szCs w:val="18"/>
              </w:rPr>
              <w:t>UNIPETROL, a.s.</w:t>
            </w:r>
          </w:p>
        </w:tc>
        <w:tc>
          <w:tcPr>
            <w:tcW w:w="1064"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80 000 000</w:t>
            </w:r>
          </w:p>
        </w:tc>
        <w:tc>
          <w:tcPr>
            <w:tcW w:w="1561"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6%</w:t>
            </w:r>
          </w:p>
        </w:tc>
      </w:tr>
      <w:tr w:rsidR="00FB4323" w:rsidRPr="005028D6" w:rsidTr="00FB4323">
        <w:tc>
          <w:tcPr>
            <w:tcW w:w="724" w:type="dxa"/>
            <w:vAlign w:val="bottom"/>
          </w:tcPr>
          <w:p w:rsidR="00FB4323" w:rsidRPr="00FB4323" w:rsidRDefault="00FB4323" w:rsidP="00787C1B">
            <w:pPr>
              <w:jc w:val="center"/>
              <w:rPr>
                <w:rFonts w:ascii="Times New Roman" w:hAnsi="Times New Roman" w:cs="Times New Roman"/>
                <w:sz w:val="18"/>
                <w:szCs w:val="18"/>
              </w:rPr>
            </w:pPr>
            <w:r w:rsidRPr="00FB4323">
              <w:rPr>
                <w:rFonts w:ascii="Times New Roman" w:hAnsi="Times New Roman" w:cs="Times New Roman"/>
                <w:sz w:val="18"/>
                <w:szCs w:val="18"/>
              </w:rPr>
              <w:t>4</w:t>
            </w:r>
          </w:p>
        </w:tc>
        <w:tc>
          <w:tcPr>
            <w:tcW w:w="1828" w:type="dxa"/>
            <w:vAlign w:val="bottom"/>
          </w:tcPr>
          <w:p w:rsidR="00FB4323" w:rsidRPr="00FB4323" w:rsidRDefault="00FB4323" w:rsidP="00787C1B">
            <w:pPr>
              <w:rPr>
                <w:rFonts w:ascii="Times New Roman" w:hAnsi="Times New Roman" w:cs="Times New Roman"/>
                <w:sz w:val="18"/>
                <w:szCs w:val="18"/>
              </w:rPr>
            </w:pPr>
            <w:r w:rsidRPr="00FB4323">
              <w:rPr>
                <w:rFonts w:ascii="Times New Roman" w:hAnsi="Times New Roman" w:cs="Times New Roman"/>
                <w:sz w:val="18"/>
                <w:szCs w:val="18"/>
              </w:rPr>
              <w:t xml:space="preserve">RWE Supply &amp; </w:t>
            </w:r>
            <w:proofErr w:type="spellStart"/>
            <w:r w:rsidRPr="00FB4323">
              <w:rPr>
                <w:rFonts w:ascii="Times New Roman" w:hAnsi="Times New Roman" w:cs="Times New Roman"/>
                <w:sz w:val="18"/>
                <w:szCs w:val="18"/>
              </w:rPr>
              <w:t>Trading</w:t>
            </w:r>
            <w:proofErr w:type="spellEnd"/>
            <w:r w:rsidRPr="00FB4323">
              <w:rPr>
                <w:rFonts w:ascii="Times New Roman" w:hAnsi="Times New Roman" w:cs="Times New Roman"/>
                <w:sz w:val="18"/>
                <w:szCs w:val="18"/>
              </w:rPr>
              <w:t xml:space="preserve"> CZ, a.s.</w:t>
            </w:r>
          </w:p>
        </w:tc>
        <w:tc>
          <w:tcPr>
            <w:tcW w:w="1064"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69 000 000</w:t>
            </w:r>
          </w:p>
        </w:tc>
        <w:tc>
          <w:tcPr>
            <w:tcW w:w="1561"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7%</w:t>
            </w:r>
          </w:p>
        </w:tc>
      </w:tr>
      <w:tr w:rsidR="00FB4323" w:rsidRPr="005028D6" w:rsidTr="00FB4323">
        <w:tc>
          <w:tcPr>
            <w:tcW w:w="724" w:type="dxa"/>
            <w:vAlign w:val="bottom"/>
          </w:tcPr>
          <w:p w:rsidR="00FB4323" w:rsidRPr="00FB4323" w:rsidRDefault="00FB4323" w:rsidP="00787C1B">
            <w:pPr>
              <w:jc w:val="center"/>
              <w:rPr>
                <w:rFonts w:ascii="Times New Roman" w:hAnsi="Times New Roman" w:cs="Times New Roman"/>
                <w:sz w:val="18"/>
                <w:szCs w:val="18"/>
              </w:rPr>
            </w:pPr>
            <w:r w:rsidRPr="00FB4323">
              <w:rPr>
                <w:rFonts w:ascii="Times New Roman" w:hAnsi="Times New Roman" w:cs="Times New Roman"/>
                <w:sz w:val="18"/>
                <w:szCs w:val="18"/>
              </w:rPr>
              <w:t>5</w:t>
            </w:r>
          </w:p>
        </w:tc>
        <w:tc>
          <w:tcPr>
            <w:tcW w:w="1828" w:type="dxa"/>
            <w:vAlign w:val="bottom"/>
          </w:tcPr>
          <w:p w:rsidR="00FB4323" w:rsidRPr="00FB4323" w:rsidRDefault="00FB4323" w:rsidP="00787C1B">
            <w:pPr>
              <w:rPr>
                <w:rFonts w:ascii="Times New Roman" w:hAnsi="Times New Roman" w:cs="Times New Roman"/>
                <w:sz w:val="18"/>
                <w:szCs w:val="18"/>
              </w:rPr>
            </w:pPr>
            <w:r w:rsidRPr="00FB4323">
              <w:rPr>
                <w:rFonts w:ascii="Times New Roman" w:hAnsi="Times New Roman" w:cs="Times New Roman"/>
                <w:sz w:val="18"/>
                <w:szCs w:val="18"/>
              </w:rPr>
              <w:t>AGROFERT, a.s.</w:t>
            </w:r>
          </w:p>
        </w:tc>
        <w:tc>
          <w:tcPr>
            <w:tcW w:w="1064"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67 000 000</w:t>
            </w:r>
          </w:p>
        </w:tc>
        <w:tc>
          <w:tcPr>
            <w:tcW w:w="1561"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8%</w:t>
            </w:r>
          </w:p>
        </w:tc>
      </w:tr>
      <w:tr w:rsidR="00FB4323" w:rsidRPr="005028D6" w:rsidTr="00FB4323">
        <w:tc>
          <w:tcPr>
            <w:tcW w:w="724" w:type="dxa"/>
            <w:vAlign w:val="bottom"/>
          </w:tcPr>
          <w:p w:rsidR="00FB4323" w:rsidRPr="00FB4323" w:rsidRDefault="00FB4323" w:rsidP="00787C1B">
            <w:pPr>
              <w:jc w:val="center"/>
              <w:rPr>
                <w:rFonts w:ascii="Times New Roman" w:hAnsi="Times New Roman" w:cs="Times New Roman"/>
                <w:sz w:val="18"/>
                <w:szCs w:val="18"/>
              </w:rPr>
            </w:pPr>
            <w:r w:rsidRPr="00FB4323">
              <w:rPr>
                <w:rFonts w:ascii="Times New Roman" w:hAnsi="Times New Roman" w:cs="Times New Roman"/>
                <w:sz w:val="18"/>
                <w:szCs w:val="18"/>
              </w:rPr>
              <w:t>6</w:t>
            </w:r>
          </w:p>
        </w:tc>
        <w:tc>
          <w:tcPr>
            <w:tcW w:w="1828" w:type="dxa"/>
            <w:vAlign w:val="bottom"/>
          </w:tcPr>
          <w:p w:rsidR="00FB4323" w:rsidRPr="00FB4323" w:rsidRDefault="00FB4323" w:rsidP="00787C1B">
            <w:pPr>
              <w:rPr>
                <w:rFonts w:ascii="Times New Roman" w:hAnsi="Times New Roman" w:cs="Times New Roman"/>
                <w:sz w:val="18"/>
                <w:szCs w:val="18"/>
              </w:rPr>
            </w:pPr>
            <w:r w:rsidRPr="00FB4323">
              <w:rPr>
                <w:rFonts w:ascii="Times New Roman" w:hAnsi="Times New Roman" w:cs="Times New Roman"/>
                <w:sz w:val="18"/>
                <w:szCs w:val="18"/>
              </w:rPr>
              <w:t>Český Telecom</w:t>
            </w:r>
          </w:p>
        </w:tc>
        <w:tc>
          <w:tcPr>
            <w:tcW w:w="1064"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61 000 000</w:t>
            </w:r>
          </w:p>
        </w:tc>
        <w:tc>
          <w:tcPr>
            <w:tcW w:w="1561"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9%</w:t>
            </w:r>
          </w:p>
        </w:tc>
      </w:tr>
      <w:tr w:rsidR="00FB4323" w:rsidRPr="005028D6" w:rsidTr="00FB4323">
        <w:tc>
          <w:tcPr>
            <w:tcW w:w="724" w:type="dxa"/>
            <w:vAlign w:val="bottom"/>
          </w:tcPr>
          <w:p w:rsidR="00FB4323" w:rsidRPr="00FB4323" w:rsidRDefault="00FB4323" w:rsidP="00787C1B">
            <w:pPr>
              <w:jc w:val="center"/>
              <w:rPr>
                <w:rFonts w:ascii="Times New Roman" w:hAnsi="Times New Roman" w:cs="Times New Roman"/>
                <w:sz w:val="18"/>
                <w:szCs w:val="18"/>
              </w:rPr>
            </w:pPr>
            <w:r w:rsidRPr="00FB4323">
              <w:rPr>
                <w:rFonts w:ascii="Times New Roman" w:hAnsi="Times New Roman" w:cs="Times New Roman"/>
                <w:sz w:val="18"/>
                <w:szCs w:val="18"/>
              </w:rPr>
              <w:t>7</w:t>
            </w:r>
          </w:p>
        </w:tc>
        <w:tc>
          <w:tcPr>
            <w:tcW w:w="1828" w:type="dxa"/>
            <w:vAlign w:val="bottom"/>
          </w:tcPr>
          <w:p w:rsidR="00FB4323" w:rsidRPr="00FB4323" w:rsidRDefault="00FB4323" w:rsidP="00787C1B">
            <w:pPr>
              <w:rPr>
                <w:rFonts w:ascii="Times New Roman" w:hAnsi="Times New Roman" w:cs="Times New Roman"/>
                <w:sz w:val="18"/>
                <w:szCs w:val="18"/>
              </w:rPr>
            </w:pPr>
            <w:r w:rsidRPr="00FB4323">
              <w:rPr>
                <w:rFonts w:ascii="Times New Roman" w:hAnsi="Times New Roman" w:cs="Times New Roman"/>
                <w:sz w:val="18"/>
                <w:szCs w:val="18"/>
              </w:rPr>
              <w:t>OKD</w:t>
            </w:r>
          </w:p>
        </w:tc>
        <w:tc>
          <w:tcPr>
            <w:tcW w:w="1064"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58 000 000</w:t>
            </w:r>
          </w:p>
        </w:tc>
        <w:tc>
          <w:tcPr>
            <w:tcW w:w="1561"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10%</w:t>
            </w:r>
          </w:p>
        </w:tc>
      </w:tr>
      <w:tr w:rsidR="00FB4323" w:rsidRPr="005028D6" w:rsidTr="00FB4323">
        <w:tc>
          <w:tcPr>
            <w:tcW w:w="724" w:type="dxa"/>
            <w:vAlign w:val="bottom"/>
          </w:tcPr>
          <w:p w:rsidR="00FB4323" w:rsidRPr="00FB4323" w:rsidRDefault="00FB4323" w:rsidP="00787C1B">
            <w:pPr>
              <w:jc w:val="center"/>
              <w:rPr>
                <w:rFonts w:ascii="Times New Roman" w:hAnsi="Times New Roman" w:cs="Times New Roman"/>
                <w:sz w:val="18"/>
                <w:szCs w:val="18"/>
              </w:rPr>
            </w:pPr>
            <w:r w:rsidRPr="00FB4323">
              <w:rPr>
                <w:rFonts w:ascii="Times New Roman" w:hAnsi="Times New Roman" w:cs="Times New Roman"/>
                <w:sz w:val="18"/>
                <w:szCs w:val="18"/>
              </w:rPr>
              <w:t>8</w:t>
            </w:r>
          </w:p>
        </w:tc>
        <w:tc>
          <w:tcPr>
            <w:tcW w:w="1828" w:type="dxa"/>
            <w:vAlign w:val="bottom"/>
          </w:tcPr>
          <w:p w:rsidR="00FB4323" w:rsidRPr="00FB4323" w:rsidRDefault="00FB4323" w:rsidP="00787C1B">
            <w:pPr>
              <w:rPr>
                <w:rFonts w:ascii="Times New Roman" w:hAnsi="Times New Roman" w:cs="Times New Roman"/>
                <w:sz w:val="18"/>
                <w:szCs w:val="18"/>
              </w:rPr>
            </w:pPr>
            <w:r w:rsidRPr="00FB4323">
              <w:rPr>
                <w:rFonts w:ascii="Times New Roman" w:hAnsi="Times New Roman" w:cs="Times New Roman"/>
                <w:sz w:val="18"/>
                <w:szCs w:val="18"/>
              </w:rPr>
              <w:t>Siemens</w:t>
            </w:r>
          </w:p>
        </w:tc>
        <w:tc>
          <w:tcPr>
            <w:tcW w:w="1064"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54 000 000</w:t>
            </w:r>
          </w:p>
        </w:tc>
        <w:tc>
          <w:tcPr>
            <w:tcW w:w="1561"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11%</w:t>
            </w:r>
          </w:p>
        </w:tc>
      </w:tr>
      <w:tr w:rsidR="00FB4323" w:rsidRPr="005028D6" w:rsidTr="00FB4323">
        <w:tc>
          <w:tcPr>
            <w:tcW w:w="724" w:type="dxa"/>
            <w:vAlign w:val="bottom"/>
          </w:tcPr>
          <w:p w:rsidR="00FB4323" w:rsidRPr="00FB4323" w:rsidRDefault="00FB4323" w:rsidP="00787C1B">
            <w:pPr>
              <w:jc w:val="center"/>
              <w:rPr>
                <w:rFonts w:ascii="Times New Roman" w:hAnsi="Times New Roman" w:cs="Times New Roman"/>
                <w:sz w:val="18"/>
                <w:szCs w:val="18"/>
              </w:rPr>
            </w:pPr>
            <w:r w:rsidRPr="00FB4323">
              <w:rPr>
                <w:rFonts w:ascii="Times New Roman" w:hAnsi="Times New Roman" w:cs="Times New Roman"/>
                <w:sz w:val="18"/>
                <w:szCs w:val="18"/>
              </w:rPr>
              <w:t>9</w:t>
            </w:r>
          </w:p>
        </w:tc>
        <w:tc>
          <w:tcPr>
            <w:tcW w:w="1828" w:type="dxa"/>
            <w:vAlign w:val="bottom"/>
          </w:tcPr>
          <w:p w:rsidR="00FB4323" w:rsidRPr="00FB4323" w:rsidRDefault="00FB4323" w:rsidP="00787C1B">
            <w:pPr>
              <w:rPr>
                <w:rFonts w:ascii="Times New Roman" w:hAnsi="Times New Roman" w:cs="Times New Roman"/>
                <w:sz w:val="18"/>
                <w:szCs w:val="18"/>
              </w:rPr>
            </w:pPr>
            <w:r w:rsidRPr="00FB4323">
              <w:rPr>
                <w:rFonts w:ascii="Times New Roman" w:hAnsi="Times New Roman" w:cs="Times New Roman"/>
                <w:sz w:val="18"/>
                <w:szCs w:val="18"/>
              </w:rPr>
              <w:t>Moravia Steel</w:t>
            </w:r>
          </w:p>
        </w:tc>
        <w:tc>
          <w:tcPr>
            <w:tcW w:w="1064"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53 000 000</w:t>
            </w:r>
          </w:p>
        </w:tc>
        <w:tc>
          <w:tcPr>
            <w:tcW w:w="1561"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12%</w:t>
            </w:r>
          </w:p>
        </w:tc>
      </w:tr>
      <w:tr w:rsidR="00FB4323" w:rsidRPr="005028D6" w:rsidTr="00FB4323">
        <w:tc>
          <w:tcPr>
            <w:tcW w:w="724" w:type="dxa"/>
            <w:vAlign w:val="bottom"/>
          </w:tcPr>
          <w:p w:rsidR="00FB4323" w:rsidRPr="00FB4323" w:rsidRDefault="00FB4323" w:rsidP="00787C1B">
            <w:pPr>
              <w:jc w:val="center"/>
              <w:rPr>
                <w:rFonts w:ascii="Times New Roman" w:hAnsi="Times New Roman" w:cs="Times New Roman"/>
                <w:sz w:val="18"/>
                <w:szCs w:val="18"/>
              </w:rPr>
            </w:pPr>
            <w:r w:rsidRPr="00FB4323">
              <w:rPr>
                <w:rFonts w:ascii="Times New Roman" w:hAnsi="Times New Roman" w:cs="Times New Roman"/>
                <w:sz w:val="18"/>
                <w:szCs w:val="18"/>
              </w:rPr>
              <w:t>10</w:t>
            </w:r>
          </w:p>
        </w:tc>
        <w:tc>
          <w:tcPr>
            <w:tcW w:w="1828" w:type="dxa"/>
            <w:vAlign w:val="bottom"/>
          </w:tcPr>
          <w:p w:rsidR="00FB4323" w:rsidRPr="00FB4323" w:rsidRDefault="00FB4323" w:rsidP="00787C1B">
            <w:pPr>
              <w:rPr>
                <w:rFonts w:ascii="Times New Roman" w:hAnsi="Times New Roman" w:cs="Times New Roman"/>
                <w:sz w:val="18"/>
                <w:szCs w:val="18"/>
              </w:rPr>
            </w:pPr>
            <w:r w:rsidRPr="00FB4323">
              <w:rPr>
                <w:rFonts w:ascii="Times New Roman" w:hAnsi="Times New Roman" w:cs="Times New Roman"/>
                <w:sz w:val="18"/>
                <w:szCs w:val="18"/>
              </w:rPr>
              <w:t>FOXCONN CZ s.r.o.</w:t>
            </w:r>
          </w:p>
        </w:tc>
        <w:tc>
          <w:tcPr>
            <w:tcW w:w="1064"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51 000 000</w:t>
            </w:r>
          </w:p>
        </w:tc>
        <w:tc>
          <w:tcPr>
            <w:tcW w:w="1561" w:type="dxa"/>
            <w:vAlign w:val="bottom"/>
          </w:tcPr>
          <w:p w:rsidR="00FB4323" w:rsidRPr="00FB4323" w:rsidRDefault="00FB4323" w:rsidP="00787C1B">
            <w:pPr>
              <w:jc w:val="right"/>
              <w:rPr>
                <w:rFonts w:ascii="Times New Roman" w:hAnsi="Times New Roman" w:cs="Times New Roman"/>
                <w:sz w:val="18"/>
                <w:szCs w:val="18"/>
              </w:rPr>
            </w:pPr>
            <w:r w:rsidRPr="00FB4323">
              <w:rPr>
                <w:rFonts w:ascii="Times New Roman" w:hAnsi="Times New Roman" w:cs="Times New Roman"/>
                <w:sz w:val="18"/>
                <w:szCs w:val="18"/>
              </w:rPr>
              <w:t>12%</w:t>
            </w:r>
          </w:p>
        </w:tc>
      </w:tr>
    </w:tbl>
    <w:p w:rsidR="00FB4323" w:rsidRPr="00FB4323" w:rsidRDefault="00FB4323" w:rsidP="00FB4323">
      <w:pPr>
        <w:pStyle w:val="Titulek"/>
        <w:keepNext/>
        <w:rPr>
          <w:rFonts w:ascii="Times New Roman" w:eastAsiaTheme="minorHAnsi" w:hAnsi="Times New Roman" w:cs="Times New Roman"/>
          <w:b w:val="0"/>
          <w:bCs w:val="0"/>
          <w:color w:val="auto"/>
          <w:lang w:eastAsia="en-US"/>
        </w:rPr>
      </w:pPr>
      <w:r w:rsidRPr="00FB4323">
        <w:rPr>
          <w:rFonts w:ascii="Times New Roman" w:eastAsiaTheme="minorHAnsi" w:hAnsi="Times New Roman" w:cs="Times New Roman"/>
          <w:b w:val="0"/>
          <w:bCs w:val="0"/>
          <w:color w:val="auto"/>
          <w:lang w:eastAsia="en-US"/>
        </w:rPr>
        <w:t xml:space="preserve">Tabulka </w:t>
      </w:r>
      <w:r w:rsidRPr="00FB4323">
        <w:rPr>
          <w:rFonts w:ascii="Times New Roman" w:eastAsiaTheme="minorHAnsi" w:hAnsi="Times New Roman" w:cs="Times New Roman"/>
          <w:b w:val="0"/>
          <w:bCs w:val="0"/>
          <w:color w:val="auto"/>
          <w:lang w:eastAsia="en-US"/>
        </w:rPr>
        <w:fldChar w:fldCharType="begin"/>
      </w:r>
      <w:r w:rsidRPr="00FB4323">
        <w:rPr>
          <w:rFonts w:ascii="Times New Roman" w:eastAsiaTheme="minorHAnsi" w:hAnsi="Times New Roman" w:cs="Times New Roman"/>
          <w:b w:val="0"/>
          <w:bCs w:val="0"/>
          <w:color w:val="auto"/>
          <w:lang w:eastAsia="en-US"/>
        </w:rPr>
        <w:instrText xml:space="preserve"> SEQ Tabulka \* ARABIC </w:instrText>
      </w:r>
      <w:r w:rsidRPr="00FB4323">
        <w:rPr>
          <w:rFonts w:ascii="Times New Roman" w:eastAsiaTheme="minorHAnsi" w:hAnsi="Times New Roman" w:cs="Times New Roman"/>
          <w:b w:val="0"/>
          <w:bCs w:val="0"/>
          <w:color w:val="auto"/>
          <w:lang w:eastAsia="en-US"/>
        </w:rPr>
        <w:fldChar w:fldCharType="separate"/>
      </w:r>
      <w:r w:rsidRPr="00FB4323">
        <w:rPr>
          <w:rFonts w:ascii="Times New Roman" w:eastAsiaTheme="minorHAnsi" w:hAnsi="Times New Roman" w:cs="Times New Roman"/>
          <w:b w:val="0"/>
          <w:bCs w:val="0"/>
          <w:color w:val="auto"/>
          <w:lang w:eastAsia="en-US"/>
        </w:rPr>
        <w:t>2</w:t>
      </w:r>
      <w:r w:rsidRPr="00FB4323">
        <w:rPr>
          <w:rFonts w:ascii="Times New Roman" w:eastAsiaTheme="minorHAnsi" w:hAnsi="Times New Roman" w:cs="Times New Roman"/>
          <w:b w:val="0"/>
          <w:bCs w:val="0"/>
          <w:color w:val="auto"/>
          <w:lang w:eastAsia="en-US"/>
        </w:rPr>
        <w:fldChar w:fldCharType="end"/>
      </w:r>
      <w:r w:rsidRPr="00FB4323">
        <w:rPr>
          <w:rFonts w:ascii="Times New Roman" w:eastAsiaTheme="minorHAnsi" w:hAnsi="Times New Roman" w:cs="Times New Roman"/>
          <w:b w:val="0"/>
          <w:bCs w:val="0"/>
          <w:color w:val="auto"/>
          <w:lang w:eastAsia="en-US"/>
        </w:rPr>
        <w:t>: Deset největších společností v České republice dle tržeb v roce 2005</w:t>
      </w:r>
    </w:p>
    <w:p w:rsidR="00FB4323" w:rsidRPr="00FB4323" w:rsidRDefault="00FB4323" w:rsidP="00FB4323">
      <w:pPr>
        <w:spacing w:line="240" w:lineRule="auto"/>
        <w:jc w:val="both"/>
        <w:rPr>
          <w:rFonts w:ascii="Times New Roman" w:hAnsi="Times New Roman" w:cs="Times New Roman"/>
          <w:sz w:val="18"/>
          <w:szCs w:val="18"/>
        </w:rPr>
      </w:pPr>
      <w:r w:rsidRPr="00FB4323">
        <w:rPr>
          <w:rFonts w:ascii="Times New Roman" w:hAnsi="Times New Roman" w:cs="Times New Roman"/>
          <w:sz w:val="18"/>
          <w:szCs w:val="18"/>
        </w:rPr>
        <w:t>Zkoumat lze také kolik procent zaměstnanců v České republice pracuje pro 10 největších podniků (tabulka č. 3). Pro deset největších podniků v České republice pracuje 3,8 % všech zaměstnanců. Největším zaměstnavatelem je společnost AGROFERT, která zaměstnává 0,8 % všech zaměstnanců.</w:t>
      </w:r>
    </w:p>
    <w:tbl>
      <w:tblPr>
        <w:tblStyle w:val="Mkatabulky"/>
        <w:tblW w:w="0" w:type="auto"/>
        <w:tblLook w:val="04A0" w:firstRow="1" w:lastRow="0" w:firstColumn="1" w:lastColumn="0" w:noHBand="0" w:noVBand="1"/>
      </w:tblPr>
      <w:tblGrid>
        <w:gridCol w:w="713"/>
        <w:gridCol w:w="1704"/>
        <w:gridCol w:w="1206"/>
        <w:gridCol w:w="1554"/>
      </w:tblGrid>
      <w:tr w:rsidR="00713AF3" w:rsidRPr="00713AF3" w:rsidTr="00713AF3">
        <w:tc>
          <w:tcPr>
            <w:tcW w:w="713" w:type="dxa"/>
            <w:vAlign w:val="bottom"/>
          </w:tcPr>
          <w:p w:rsidR="00713AF3" w:rsidRPr="00713AF3" w:rsidRDefault="00713AF3" w:rsidP="00787C1B">
            <w:pPr>
              <w:jc w:val="center"/>
              <w:rPr>
                <w:rFonts w:ascii="Times New Roman" w:hAnsi="Times New Roman" w:cs="Times New Roman"/>
                <w:sz w:val="18"/>
                <w:szCs w:val="18"/>
              </w:rPr>
            </w:pPr>
            <w:r w:rsidRPr="00713AF3">
              <w:rPr>
                <w:rFonts w:ascii="Times New Roman" w:hAnsi="Times New Roman" w:cs="Times New Roman"/>
                <w:sz w:val="18"/>
                <w:szCs w:val="18"/>
              </w:rPr>
              <w:t>Pořadí</w:t>
            </w:r>
          </w:p>
        </w:tc>
        <w:tc>
          <w:tcPr>
            <w:tcW w:w="1704" w:type="dxa"/>
            <w:vAlign w:val="bottom"/>
          </w:tcPr>
          <w:p w:rsidR="00713AF3" w:rsidRPr="00713AF3" w:rsidRDefault="00713AF3" w:rsidP="00787C1B">
            <w:pPr>
              <w:rPr>
                <w:rFonts w:ascii="Times New Roman" w:hAnsi="Times New Roman" w:cs="Times New Roman"/>
                <w:sz w:val="18"/>
                <w:szCs w:val="18"/>
              </w:rPr>
            </w:pPr>
            <w:r w:rsidRPr="00713AF3">
              <w:rPr>
                <w:rFonts w:ascii="Times New Roman" w:hAnsi="Times New Roman" w:cs="Times New Roman"/>
                <w:sz w:val="18"/>
                <w:szCs w:val="18"/>
              </w:rPr>
              <w:t>Název společnosti</w:t>
            </w:r>
          </w:p>
        </w:tc>
        <w:tc>
          <w:tcPr>
            <w:tcW w:w="1206"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Počet zaměstnanců</w:t>
            </w:r>
          </w:p>
        </w:tc>
        <w:tc>
          <w:tcPr>
            <w:tcW w:w="1554"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Akumulovaný podíl počtu zaměstnanců k celkovému počtu</w:t>
            </w:r>
          </w:p>
        </w:tc>
      </w:tr>
      <w:tr w:rsidR="00713AF3" w:rsidRPr="00713AF3" w:rsidTr="00713AF3">
        <w:tc>
          <w:tcPr>
            <w:tcW w:w="713" w:type="dxa"/>
            <w:vAlign w:val="bottom"/>
          </w:tcPr>
          <w:p w:rsidR="00713AF3" w:rsidRPr="00713AF3" w:rsidRDefault="00713AF3" w:rsidP="00787C1B">
            <w:pPr>
              <w:jc w:val="center"/>
              <w:rPr>
                <w:rFonts w:ascii="Times New Roman" w:hAnsi="Times New Roman" w:cs="Times New Roman"/>
                <w:sz w:val="18"/>
                <w:szCs w:val="18"/>
              </w:rPr>
            </w:pPr>
            <w:r w:rsidRPr="00713AF3">
              <w:rPr>
                <w:rFonts w:ascii="Times New Roman" w:hAnsi="Times New Roman" w:cs="Times New Roman"/>
                <w:sz w:val="18"/>
                <w:szCs w:val="18"/>
              </w:rPr>
              <w:t>1</w:t>
            </w:r>
          </w:p>
        </w:tc>
        <w:tc>
          <w:tcPr>
            <w:tcW w:w="1704" w:type="dxa"/>
            <w:vAlign w:val="bottom"/>
          </w:tcPr>
          <w:p w:rsidR="00713AF3" w:rsidRPr="00713AF3" w:rsidRDefault="00713AF3" w:rsidP="00787C1B">
            <w:pPr>
              <w:rPr>
                <w:rFonts w:ascii="Times New Roman" w:hAnsi="Times New Roman" w:cs="Times New Roman"/>
                <w:sz w:val="18"/>
                <w:szCs w:val="18"/>
              </w:rPr>
            </w:pPr>
            <w:r w:rsidRPr="00713AF3">
              <w:rPr>
                <w:rFonts w:ascii="Times New Roman" w:hAnsi="Times New Roman" w:cs="Times New Roman"/>
                <w:sz w:val="18"/>
                <w:szCs w:val="18"/>
              </w:rPr>
              <w:t>AGROFERT, a.s.</w:t>
            </w:r>
          </w:p>
        </w:tc>
        <w:tc>
          <w:tcPr>
            <w:tcW w:w="1206"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33 722</w:t>
            </w:r>
          </w:p>
        </w:tc>
        <w:tc>
          <w:tcPr>
            <w:tcW w:w="1554"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0,8%</w:t>
            </w:r>
          </w:p>
        </w:tc>
      </w:tr>
      <w:tr w:rsidR="00713AF3" w:rsidRPr="00713AF3" w:rsidTr="00713AF3">
        <w:tc>
          <w:tcPr>
            <w:tcW w:w="713" w:type="dxa"/>
            <w:vAlign w:val="bottom"/>
          </w:tcPr>
          <w:p w:rsidR="00713AF3" w:rsidRPr="00713AF3" w:rsidRDefault="00713AF3" w:rsidP="00787C1B">
            <w:pPr>
              <w:jc w:val="center"/>
              <w:rPr>
                <w:rFonts w:ascii="Times New Roman" w:hAnsi="Times New Roman" w:cs="Times New Roman"/>
                <w:sz w:val="18"/>
                <w:szCs w:val="18"/>
              </w:rPr>
            </w:pPr>
            <w:r w:rsidRPr="00713AF3">
              <w:rPr>
                <w:rFonts w:ascii="Times New Roman" w:hAnsi="Times New Roman" w:cs="Times New Roman"/>
                <w:sz w:val="18"/>
                <w:szCs w:val="18"/>
              </w:rPr>
              <w:t>2</w:t>
            </w:r>
          </w:p>
        </w:tc>
        <w:tc>
          <w:tcPr>
            <w:tcW w:w="1704" w:type="dxa"/>
            <w:vAlign w:val="bottom"/>
          </w:tcPr>
          <w:p w:rsidR="00713AF3" w:rsidRPr="00713AF3" w:rsidRDefault="00713AF3" w:rsidP="00787C1B">
            <w:pPr>
              <w:rPr>
                <w:rFonts w:ascii="Times New Roman" w:hAnsi="Times New Roman" w:cs="Times New Roman"/>
                <w:sz w:val="18"/>
                <w:szCs w:val="18"/>
              </w:rPr>
            </w:pPr>
            <w:r w:rsidRPr="00713AF3">
              <w:rPr>
                <w:rFonts w:ascii="Times New Roman" w:hAnsi="Times New Roman" w:cs="Times New Roman"/>
                <w:sz w:val="18"/>
                <w:szCs w:val="18"/>
              </w:rPr>
              <w:t xml:space="preserve">Česká pošta, </w:t>
            </w:r>
            <w:proofErr w:type="spellStart"/>
            <w:r w:rsidRPr="00713AF3">
              <w:rPr>
                <w:rFonts w:ascii="Times New Roman" w:hAnsi="Times New Roman" w:cs="Times New Roman"/>
                <w:sz w:val="18"/>
                <w:szCs w:val="18"/>
              </w:rPr>
              <w:t>s.p</w:t>
            </w:r>
            <w:proofErr w:type="spellEnd"/>
            <w:r w:rsidRPr="00713AF3">
              <w:rPr>
                <w:rFonts w:ascii="Times New Roman" w:hAnsi="Times New Roman" w:cs="Times New Roman"/>
                <w:sz w:val="18"/>
                <w:szCs w:val="18"/>
              </w:rPr>
              <w:t>.</w:t>
            </w:r>
          </w:p>
        </w:tc>
        <w:tc>
          <w:tcPr>
            <w:tcW w:w="1206"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31 534</w:t>
            </w:r>
          </w:p>
        </w:tc>
        <w:tc>
          <w:tcPr>
            <w:tcW w:w="1554"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1,5%</w:t>
            </w:r>
          </w:p>
        </w:tc>
      </w:tr>
      <w:tr w:rsidR="00713AF3" w:rsidRPr="00713AF3" w:rsidTr="00713AF3">
        <w:tc>
          <w:tcPr>
            <w:tcW w:w="713" w:type="dxa"/>
            <w:vAlign w:val="bottom"/>
          </w:tcPr>
          <w:p w:rsidR="00713AF3" w:rsidRPr="00713AF3" w:rsidRDefault="00713AF3" w:rsidP="00787C1B">
            <w:pPr>
              <w:jc w:val="center"/>
              <w:rPr>
                <w:rFonts w:ascii="Times New Roman" w:hAnsi="Times New Roman" w:cs="Times New Roman"/>
                <w:sz w:val="18"/>
                <w:szCs w:val="18"/>
              </w:rPr>
            </w:pPr>
            <w:r w:rsidRPr="00713AF3">
              <w:rPr>
                <w:rFonts w:ascii="Times New Roman" w:hAnsi="Times New Roman" w:cs="Times New Roman"/>
                <w:sz w:val="18"/>
                <w:szCs w:val="18"/>
              </w:rPr>
              <w:t>3</w:t>
            </w:r>
          </w:p>
        </w:tc>
        <w:tc>
          <w:tcPr>
            <w:tcW w:w="1704" w:type="dxa"/>
            <w:vAlign w:val="bottom"/>
          </w:tcPr>
          <w:p w:rsidR="00713AF3" w:rsidRPr="00713AF3" w:rsidRDefault="00713AF3" w:rsidP="00787C1B">
            <w:pPr>
              <w:rPr>
                <w:rFonts w:ascii="Times New Roman" w:hAnsi="Times New Roman" w:cs="Times New Roman"/>
                <w:sz w:val="18"/>
                <w:szCs w:val="18"/>
              </w:rPr>
            </w:pPr>
            <w:r w:rsidRPr="00713AF3">
              <w:rPr>
                <w:rFonts w:ascii="Times New Roman" w:hAnsi="Times New Roman" w:cs="Times New Roman"/>
                <w:sz w:val="18"/>
                <w:szCs w:val="18"/>
              </w:rPr>
              <w:t>ČEZ a.s.</w:t>
            </w:r>
          </w:p>
        </w:tc>
        <w:tc>
          <w:tcPr>
            <w:tcW w:w="1206"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25 866</w:t>
            </w:r>
          </w:p>
        </w:tc>
        <w:tc>
          <w:tcPr>
            <w:tcW w:w="1554"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2,1%</w:t>
            </w:r>
          </w:p>
        </w:tc>
      </w:tr>
      <w:tr w:rsidR="00713AF3" w:rsidRPr="00713AF3" w:rsidTr="00713AF3">
        <w:tc>
          <w:tcPr>
            <w:tcW w:w="713" w:type="dxa"/>
            <w:vAlign w:val="bottom"/>
          </w:tcPr>
          <w:p w:rsidR="00713AF3" w:rsidRPr="00713AF3" w:rsidRDefault="00713AF3" w:rsidP="00787C1B">
            <w:pPr>
              <w:jc w:val="center"/>
              <w:rPr>
                <w:rFonts w:ascii="Times New Roman" w:hAnsi="Times New Roman" w:cs="Times New Roman"/>
                <w:sz w:val="18"/>
                <w:szCs w:val="18"/>
              </w:rPr>
            </w:pPr>
            <w:r w:rsidRPr="00713AF3">
              <w:rPr>
                <w:rFonts w:ascii="Times New Roman" w:hAnsi="Times New Roman" w:cs="Times New Roman"/>
                <w:sz w:val="18"/>
                <w:szCs w:val="18"/>
              </w:rPr>
              <w:t>4</w:t>
            </w:r>
          </w:p>
        </w:tc>
        <w:tc>
          <w:tcPr>
            <w:tcW w:w="1704" w:type="dxa"/>
            <w:vAlign w:val="bottom"/>
          </w:tcPr>
          <w:p w:rsidR="00713AF3" w:rsidRPr="00713AF3" w:rsidRDefault="00713AF3" w:rsidP="00787C1B">
            <w:pPr>
              <w:rPr>
                <w:rFonts w:ascii="Times New Roman" w:hAnsi="Times New Roman" w:cs="Times New Roman"/>
                <w:sz w:val="18"/>
                <w:szCs w:val="18"/>
              </w:rPr>
            </w:pPr>
            <w:r w:rsidRPr="00713AF3">
              <w:rPr>
                <w:rFonts w:ascii="Times New Roman" w:hAnsi="Times New Roman" w:cs="Times New Roman"/>
                <w:sz w:val="18"/>
                <w:szCs w:val="18"/>
              </w:rPr>
              <w:t>ŠKODA AUTO a.s.</w:t>
            </w:r>
          </w:p>
        </w:tc>
        <w:tc>
          <w:tcPr>
            <w:tcW w:w="1206"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24 977</w:t>
            </w:r>
          </w:p>
        </w:tc>
        <w:tc>
          <w:tcPr>
            <w:tcW w:w="1554"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2,7%</w:t>
            </w:r>
          </w:p>
        </w:tc>
      </w:tr>
      <w:tr w:rsidR="00713AF3" w:rsidRPr="00713AF3" w:rsidTr="00713AF3">
        <w:tc>
          <w:tcPr>
            <w:tcW w:w="713" w:type="dxa"/>
            <w:vAlign w:val="bottom"/>
          </w:tcPr>
          <w:p w:rsidR="00713AF3" w:rsidRPr="00713AF3" w:rsidRDefault="00713AF3" w:rsidP="00787C1B">
            <w:pPr>
              <w:jc w:val="center"/>
              <w:rPr>
                <w:rFonts w:ascii="Times New Roman" w:hAnsi="Times New Roman" w:cs="Times New Roman"/>
                <w:sz w:val="18"/>
                <w:szCs w:val="18"/>
              </w:rPr>
            </w:pPr>
            <w:r w:rsidRPr="00713AF3">
              <w:rPr>
                <w:rFonts w:ascii="Times New Roman" w:hAnsi="Times New Roman" w:cs="Times New Roman"/>
                <w:sz w:val="18"/>
                <w:szCs w:val="18"/>
              </w:rPr>
              <w:t>5</w:t>
            </w:r>
          </w:p>
        </w:tc>
        <w:tc>
          <w:tcPr>
            <w:tcW w:w="1704" w:type="dxa"/>
            <w:vAlign w:val="bottom"/>
          </w:tcPr>
          <w:p w:rsidR="00713AF3" w:rsidRPr="00713AF3" w:rsidRDefault="00713AF3" w:rsidP="00787C1B">
            <w:pPr>
              <w:rPr>
                <w:rFonts w:ascii="Times New Roman" w:hAnsi="Times New Roman" w:cs="Times New Roman"/>
                <w:sz w:val="18"/>
                <w:szCs w:val="18"/>
              </w:rPr>
            </w:pPr>
            <w:r w:rsidRPr="00713AF3">
              <w:rPr>
                <w:rFonts w:ascii="Times New Roman" w:hAnsi="Times New Roman" w:cs="Times New Roman"/>
                <w:sz w:val="18"/>
                <w:szCs w:val="18"/>
              </w:rPr>
              <w:t>OKD, a.s.</w:t>
            </w:r>
          </w:p>
        </w:tc>
        <w:tc>
          <w:tcPr>
            <w:tcW w:w="1206"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11 099</w:t>
            </w:r>
          </w:p>
        </w:tc>
        <w:tc>
          <w:tcPr>
            <w:tcW w:w="1554"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3,0%</w:t>
            </w:r>
          </w:p>
        </w:tc>
      </w:tr>
      <w:tr w:rsidR="00713AF3" w:rsidRPr="00713AF3" w:rsidTr="00713AF3">
        <w:tc>
          <w:tcPr>
            <w:tcW w:w="713" w:type="dxa"/>
            <w:vAlign w:val="bottom"/>
          </w:tcPr>
          <w:p w:rsidR="00713AF3" w:rsidRPr="00713AF3" w:rsidRDefault="00713AF3" w:rsidP="00787C1B">
            <w:pPr>
              <w:jc w:val="center"/>
              <w:rPr>
                <w:rFonts w:ascii="Times New Roman" w:hAnsi="Times New Roman" w:cs="Times New Roman"/>
                <w:sz w:val="18"/>
                <w:szCs w:val="18"/>
              </w:rPr>
            </w:pPr>
            <w:r w:rsidRPr="00713AF3">
              <w:rPr>
                <w:rFonts w:ascii="Times New Roman" w:hAnsi="Times New Roman" w:cs="Times New Roman"/>
                <w:sz w:val="18"/>
                <w:szCs w:val="18"/>
              </w:rPr>
              <w:t>6</w:t>
            </w:r>
          </w:p>
        </w:tc>
        <w:tc>
          <w:tcPr>
            <w:tcW w:w="1704" w:type="dxa"/>
            <w:vAlign w:val="bottom"/>
          </w:tcPr>
          <w:p w:rsidR="00713AF3" w:rsidRPr="00713AF3" w:rsidRDefault="00713AF3" w:rsidP="00787C1B">
            <w:pPr>
              <w:rPr>
                <w:rFonts w:ascii="Times New Roman" w:hAnsi="Times New Roman" w:cs="Times New Roman"/>
                <w:sz w:val="18"/>
                <w:szCs w:val="18"/>
              </w:rPr>
            </w:pPr>
            <w:r w:rsidRPr="00713AF3">
              <w:rPr>
                <w:rFonts w:ascii="Times New Roman" w:hAnsi="Times New Roman" w:cs="Times New Roman"/>
                <w:sz w:val="18"/>
                <w:szCs w:val="18"/>
              </w:rPr>
              <w:t>Energetický a průmyslový holding, a.s.</w:t>
            </w:r>
          </w:p>
        </w:tc>
        <w:tc>
          <w:tcPr>
            <w:tcW w:w="1206"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10 094</w:t>
            </w:r>
          </w:p>
        </w:tc>
        <w:tc>
          <w:tcPr>
            <w:tcW w:w="1554"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3,2%</w:t>
            </w:r>
          </w:p>
        </w:tc>
      </w:tr>
      <w:tr w:rsidR="00713AF3" w:rsidRPr="00713AF3" w:rsidTr="00713AF3">
        <w:tc>
          <w:tcPr>
            <w:tcW w:w="713" w:type="dxa"/>
            <w:vAlign w:val="bottom"/>
          </w:tcPr>
          <w:p w:rsidR="00713AF3" w:rsidRPr="00713AF3" w:rsidRDefault="00713AF3" w:rsidP="00787C1B">
            <w:pPr>
              <w:jc w:val="center"/>
              <w:rPr>
                <w:rFonts w:ascii="Times New Roman" w:hAnsi="Times New Roman" w:cs="Times New Roman"/>
                <w:sz w:val="18"/>
                <w:szCs w:val="18"/>
              </w:rPr>
            </w:pPr>
            <w:r w:rsidRPr="00713AF3">
              <w:rPr>
                <w:rFonts w:ascii="Times New Roman" w:hAnsi="Times New Roman" w:cs="Times New Roman"/>
                <w:sz w:val="18"/>
                <w:szCs w:val="18"/>
              </w:rPr>
              <w:t>7</w:t>
            </w:r>
          </w:p>
        </w:tc>
        <w:tc>
          <w:tcPr>
            <w:tcW w:w="1704" w:type="dxa"/>
            <w:vAlign w:val="bottom"/>
          </w:tcPr>
          <w:p w:rsidR="00713AF3" w:rsidRPr="00713AF3" w:rsidRDefault="00713AF3" w:rsidP="00787C1B">
            <w:pPr>
              <w:rPr>
                <w:rFonts w:ascii="Times New Roman" w:hAnsi="Times New Roman" w:cs="Times New Roman"/>
                <w:sz w:val="18"/>
                <w:szCs w:val="18"/>
              </w:rPr>
            </w:pPr>
            <w:r w:rsidRPr="00713AF3">
              <w:rPr>
                <w:rFonts w:ascii="Times New Roman" w:hAnsi="Times New Roman" w:cs="Times New Roman"/>
                <w:sz w:val="18"/>
                <w:szCs w:val="18"/>
              </w:rPr>
              <w:t>Siemens s.r.o.</w:t>
            </w:r>
          </w:p>
        </w:tc>
        <w:tc>
          <w:tcPr>
            <w:tcW w:w="1206"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9 182</w:t>
            </w:r>
          </w:p>
        </w:tc>
        <w:tc>
          <w:tcPr>
            <w:tcW w:w="1554"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3,4%</w:t>
            </w:r>
          </w:p>
        </w:tc>
      </w:tr>
      <w:tr w:rsidR="00713AF3" w:rsidRPr="00713AF3" w:rsidTr="00713AF3">
        <w:tc>
          <w:tcPr>
            <w:tcW w:w="713" w:type="dxa"/>
            <w:vAlign w:val="bottom"/>
          </w:tcPr>
          <w:p w:rsidR="00713AF3" w:rsidRPr="00713AF3" w:rsidRDefault="00713AF3" w:rsidP="00787C1B">
            <w:pPr>
              <w:jc w:val="center"/>
              <w:rPr>
                <w:rFonts w:ascii="Times New Roman" w:hAnsi="Times New Roman" w:cs="Times New Roman"/>
                <w:sz w:val="18"/>
                <w:szCs w:val="18"/>
              </w:rPr>
            </w:pPr>
            <w:r w:rsidRPr="00713AF3">
              <w:rPr>
                <w:rFonts w:ascii="Times New Roman" w:hAnsi="Times New Roman" w:cs="Times New Roman"/>
                <w:sz w:val="18"/>
                <w:szCs w:val="18"/>
              </w:rPr>
              <w:t>8</w:t>
            </w:r>
          </w:p>
        </w:tc>
        <w:tc>
          <w:tcPr>
            <w:tcW w:w="1704" w:type="dxa"/>
            <w:vAlign w:val="bottom"/>
          </w:tcPr>
          <w:p w:rsidR="00713AF3" w:rsidRPr="00713AF3" w:rsidRDefault="00713AF3" w:rsidP="00787C1B">
            <w:pPr>
              <w:rPr>
                <w:rFonts w:ascii="Times New Roman" w:hAnsi="Times New Roman" w:cs="Times New Roman"/>
                <w:sz w:val="18"/>
                <w:szCs w:val="18"/>
              </w:rPr>
            </w:pPr>
            <w:r w:rsidRPr="00713AF3">
              <w:rPr>
                <w:rFonts w:ascii="Times New Roman" w:hAnsi="Times New Roman" w:cs="Times New Roman"/>
                <w:sz w:val="18"/>
                <w:szCs w:val="18"/>
              </w:rPr>
              <w:t>BOSCH Group ČR</w:t>
            </w:r>
          </w:p>
        </w:tc>
        <w:tc>
          <w:tcPr>
            <w:tcW w:w="1206"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8 009</w:t>
            </w:r>
          </w:p>
        </w:tc>
        <w:tc>
          <w:tcPr>
            <w:tcW w:w="1554"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3,6%</w:t>
            </w:r>
          </w:p>
        </w:tc>
      </w:tr>
      <w:tr w:rsidR="00713AF3" w:rsidRPr="00713AF3" w:rsidTr="00713AF3">
        <w:tc>
          <w:tcPr>
            <w:tcW w:w="713" w:type="dxa"/>
            <w:vAlign w:val="bottom"/>
          </w:tcPr>
          <w:p w:rsidR="00713AF3" w:rsidRPr="00713AF3" w:rsidRDefault="00713AF3" w:rsidP="00787C1B">
            <w:pPr>
              <w:jc w:val="center"/>
              <w:rPr>
                <w:rFonts w:ascii="Times New Roman" w:hAnsi="Times New Roman" w:cs="Times New Roman"/>
                <w:sz w:val="18"/>
                <w:szCs w:val="18"/>
              </w:rPr>
            </w:pPr>
            <w:r w:rsidRPr="00713AF3">
              <w:rPr>
                <w:rFonts w:ascii="Times New Roman" w:hAnsi="Times New Roman" w:cs="Times New Roman"/>
                <w:sz w:val="18"/>
                <w:szCs w:val="18"/>
              </w:rPr>
              <w:t>9</w:t>
            </w:r>
          </w:p>
        </w:tc>
        <w:tc>
          <w:tcPr>
            <w:tcW w:w="1704" w:type="dxa"/>
            <w:vAlign w:val="bottom"/>
          </w:tcPr>
          <w:p w:rsidR="00713AF3" w:rsidRPr="00713AF3" w:rsidRDefault="00713AF3" w:rsidP="00787C1B">
            <w:pPr>
              <w:rPr>
                <w:rFonts w:ascii="Times New Roman" w:hAnsi="Times New Roman" w:cs="Times New Roman"/>
                <w:sz w:val="18"/>
                <w:szCs w:val="18"/>
              </w:rPr>
            </w:pPr>
            <w:r w:rsidRPr="00713AF3">
              <w:rPr>
                <w:rFonts w:ascii="Times New Roman" w:hAnsi="Times New Roman" w:cs="Times New Roman"/>
                <w:sz w:val="18"/>
                <w:szCs w:val="18"/>
              </w:rPr>
              <w:t>METROSTAV a.s.</w:t>
            </w:r>
          </w:p>
        </w:tc>
        <w:tc>
          <w:tcPr>
            <w:tcW w:w="1206"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5 068</w:t>
            </w:r>
          </w:p>
        </w:tc>
        <w:tc>
          <w:tcPr>
            <w:tcW w:w="1554"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3,7%</w:t>
            </w:r>
          </w:p>
        </w:tc>
      </w:tr>
      <w:tr w:rsidR="00713AF3" w:rsidRPr="00713AF3" w:rsidTr="00713AF3">
        <w:tc>
          <w:tcPr>
            <w:tcW w:w="713" w:type="dxa"/>
            <w:vAlign w:val="bottom"/>
          </w:tcPr>
          <w:p w:rsidR="00713AF3" w:rsidRPr="00713AF3" w:rsidRDefault="00713AF3" w:rsidP="00787C1B">
            <w:pPr>
              <w:jc w:val="center"/>
              <w:rPr>
                <w:rFonts w:ascii="Times New Roman" w:hAnsi="Times New Roman" w:cs="Times New Roman"/>
                <w:sz w:val="18"/>
                <w:szCs w:val="18"/>
              </w:rPr>
            </w:pPr>
            <w:r w:rsidRPr="00713AF3">
              <w:rPr>
                <w:rFonts w:ascii="Times New Roman" w:hAnsi="Times New Roman" w:cs="Times New Roman"/>
                <w:sz w:val="18"/>
                <w:szCs w:val="18"/>
              </w:rPr>
              <w:t>10</w:t>
            </w:r>
          </w:p>
        </w:tc>
        <w:tc>
          <w:tcPr>
            <w:tcW w:w="1704" w:type="dxa"/>
            <w:vAlign w:val="bottom"/>
          </w:tcPr>
          <w:p w:rsidR="00713AF3" w:rsidRPr="00713AF3" w:rsidRDefault="00713AF3" w:rsidP="00787C1B">
            <w:pPr>
              <w:rPr>
                <w:rFonts w:ascii="Times New Roman" w:hAnsi="Times New Roman" w:cs="Times New Roman"/>
                <w:sz w:val="18"/>
                <w:szCs w:val="18"/>
              </w:rPr>
            </w:pPr>
            <w:proofErr w:type="spellStart"/>
            <w:r w:rsidRPr="00713AF3">
              <w:rPr>
                <w:rFonts w:ascii="Times New Roman" w:hAnsi="Times New Roman" w:cs="Times New Roman"/>
                <w:sz w:val="18"/>
                <w:szCs w:val="18"/>
              </w:rPr>
              <w:t>Veolia</w:t>
            </w:r>
            <w:proofErr w:type="spellEnd"/>
            <w:r w:rsidRPr="00713AF3">
              <w:rPr>
                <w:rFonts w:ascii="Times New Roman" w:hAnsi="Times New Roman" w:cs="Times New Roman"/>
                <w:sz w:val="18"/>
                <w:szCs w:val="18"/>
              </w:rPr>
              <w:t xml:space="preserve"> Voda ČR</w:t>
            </w:r>
          </w:p>
        </w:tc>
        <w:tc>
          <w:tcPr>
            <w:tcW w:w="1206"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4 605</w:t>
            </w:r>
          </w:p>
        </w:tc>
        <w:tc>
          <w:tcPr>
            <w:tcW w:w="1554" w:type="dxa"/>
            <w:vAlign w:val="bottom"/>
          </w:tcPr>
          <w:p w:rsidR="00713AF3" w:rsidRPr="00713AF3" w:rsidRDefault="00713AF3" w:rsidP="00787C1B">
            <w:pPr>
              <w:jc w:val="right"/>
              <w:rPr>
                <w:rFonts w:ascii="Times New Roman" w:hAnsi="Times New Roman" w:cs="Times New Roman"/>
                <w:sz w:val="18"/>
                <w:szCs w:val="18"/>
              </w:rPr>
            </w:pPr>
            <w:r w:rsidRPr="00713AF3">
              <w:rPr>
                <w:rFonts w:ascii="Times New Roman" w:hAnsi="Times New Roman" w:cs="Times New Roman"/>
                <w:sz w:val="18"/>
                <w:szCs w:val="18"/>
              </w:rPr>
              <w:t>3,8%</w:t>
            </w:r>
          </w:p>
        </w:tc>
      </w:tr>
    </w:tbl>
    <w:p w:rsidR="00713AF3" w:rsidRDefault="00713AF3" w:rsidP="00713AF3">
      <w:pPr>
        <w:pStyle w:val="Titulek"/>
        <w:keepNext/>
        <w:rPr>
          <w:rFonts w:ascii="Times New Roman" w:hAnsi="Times New Roman" w:cs="Times New Roman"/>
          <w:b w:val="0"/>
          <w:bCs w:val="0"/>
          <w:color w:val="auto"/>
        </w:rPr>
      </w:pPr>
      <w:r w:rsidRPr="00713AF3">
        <w:rPr>
          <w:rFonts w:ascii="Times New Roman" w:eastAsiaTheme="minorHAnsi" w:hAnsi="Times New Roman" w:cs="Times New Roman"/>
          <w:b w:val="0"/>
          <w:bCs w:val="0"/>
          <w:color w:val="auto"/>
          <w:lang w:eastAsia="en-US"/>
        </w:rPr>
        <w:t xml:space="preserve">Tabulka </w:t>
      </w:r>
      <w:r w:rsidRPr="00713AF3">
        <w:rPr>
          <w:rFonts w:ascii="Times New Roman" w:eastAsiaTheme="minorHAnsi" w:hAnsi="Times New Roman" w:cs="Times New Roman"/>
          <w:b w:val="0"/>
          <w:bCs w:val="0"/>
          <w:color w:val="auto"/>
          <w:lang w:eastAsia="en-US"/>
        </w:rPr>
        <w:fldChar w:fldCharType="begin"/>
      </w:r>
      <w:r w:rsidRPr="00713AF3">
        <w:rPr>
          <w:rFonts w:ascii="Times New Roman" w:eastAsiaTheme="minorHAnsi" w:hAnsi="Times New Roman" w:cs="Times New Roman"/>
          <w:b w:val="0"/>
          <w:bCs w:val="0"/>
          <w:color w:val="auto"/>
          <w:lang w:eastAsia="en-US"/>
        </w:rPr>
        <w:instrText xml:space="preserve"> SEQ Tabulka \* ARABIC </w:instrText>
      </w:r>
      <w:r w:rsidRPr="00713AF3">
        <w:rPr>
          <w:rFonts w:ascii="Times New Roman" w:eastAsiaTheme="minorHAnsi" w:hAnsi="Times New Roman" w:cs="Times New Roman"/>
          <w:b w:val="0"/>
          <w:bCs w:val="0"/>
          <w:color w:val="auto"/>
          <w:lang w:eastAsia="en-US"/>
        </w:rPr>
        <w:fldChar w:fldCharType="separate"/>
      </w:r>
      <w:r w:rsidRPr="00713AF3">
        <w:rPr>
          <w:rFonts w:ascii="Times New Roman" w:eastAsiaTheme="minorHAnsi" w:hAnsi="Times New Roman" w:cs="Times New Roman"/>
          <w:b w:val="0"/>
          <w:bCs w:val="0"/>
          <w:color w:val="auto"/>
          <w:lang w:eastAsia="en-US"/>
        </w:rPr>
        <w:t>3</w:t>
      </w:r>
      <w:r w:rsidRPr="00713AF3">
        <w:rPr>
          <w:rFonts w:ascii="Times New Roman" w:eastAsiaTheme="minorHAnsi" w:hAnsi="Times New Roman" w:cs="Times New Roman"/>
          <w:b w:val="0"/>
          <w:bCs w:val="0"/>
          <w:color w:val="auto"/>
          <w:lang w:eastAsia="en-US"/>
        </w:rPr>
        <w:fldChar w:fldCharType="end"/>
      </w:r>
      <w:r w:rsidRPr="00713AF3">
        <w:rPr>
          <w:rFonts w:ascii="Times New Roman" w:eastAsiaTheme="minorHAnsi" w:hAnsi="Times New Roman" w:cs="Times New Roman"/>
          <w:b w:val="0"/>
          <w:bCs w:val="0"/>
          <w:color w:val="auto"/>
          <w:lang w:eastAsia="en-US"/>
        </w:rPr>
        <w:t>: Deset největších společností v České republice dle počtu zaměstnanců v roce 2015</w:t>
      </w:r>
    </w:p>
    <w:p w:rsidR="00713AF3" w:rsidRDefault="00713AF3" w:rsidP="00713AF3">
      <w:pPr>
        <w:pStyle w:val="Odstavecseseznamem"/>
        <w:numPr>
          <w:ilvl w:val="0"/>
          <w:numId w:val="6"/>
        </w:numPr>
        <w:spacing w:after="0" w:line="240" w:lineRule="auto"/>
        <w:jc w:val="both"/>
        <w:rPr>
          <w:rFonts w:ascii="Times New Roman" w:hAnsi="Times New Roman" w:cs="Times New Roman"/>
          <w:b/>
          <w:sz w:val="18"/>
          <w:szCs w:val="18"/>
        </w:rPr>
      </w:pPr>
      <w:r w:rsidRPr="00713AF3">
        <w:rPr>
          <w:rFonts w:ascii="Times New Roman" w:hAnsi="Times New Roman" w:cs="Times New Roman"/>
          <w:b/>
          <w:sz w:val="18"/>
          <w:szCs w:val="18"/>
        </w:rPr>
        <w:t>ZÁVĚR</w:t>
      </w:r>
    </w:p>
    <w:p w:rsidR="00713AF3" w:rsidRPr="00713AF3" w:rsidRDefault="00713AF3" w:rsidP="00713AF3">
      <w:pPr>
        <w:pStyle w:val="Odstavecseseznamem"/>
        <w:spacing w:after="0" w:line="240" w:lineRule="auto"/>
        <w:jc w:val="both"/>
        <w:rPr>
          <w:rFonts w:ascii="Times New Roman" w:hAnsi="Times New Roman" w:cs="Times New Roman"/>
          <w:b/>
          <w:sz w:val="18"/>
          <w:szCs w:val="18"/>
          <w:lang w:eastAsia="en-US"/>
        </w:rPr>
      </w:pPr>
    </w:p>
    <w:p w:rsidR="00A05C6B" w:rsidRPr="00637DDC" w:rsidRDefault="00713AF3" w:rsidP="00A05C6B">
      <w:pPr>
        <w:pStyle w:val="Text"/>
        <w:spacing w:before="0"/>
        <w:rPr>
          <w:rFonts w:eastAsiaTheme="minorEastAsia"/>
          <w:sz w:val="18"/>
          <w:szCs w:val="18"/>
        </w:rPr>
      </w:pPr>
      <w:r w:rsidRPr="00637DDC">
        <w:rPr>
          <w:rFonts w:eastAsiaTheme="minorEastAsia"/>
          <w:sz w:val="18"/>
          <w:szCs w:val="18"/>
        </w:rPr>
        <w:t>Z analýzy vyplývá, že velké společnosti v České republice mají značný vliv na tvorbu tržní produkce a tvoří jeho podstatnou část. Špatné hospodaření těchto firem tak má značný dopad i na celkový vývoj HDP. Dle podrobného zkoumání dalšího vývoje deseti největších podniků v České republice lze predikovat i vývoj HDP. Značná</w:t>
      </w:r>
      <w:r w:rsidR="00A05C6B" w:rsidRPr="00637DDC">
        <w:rPr>
          <w:rFonts w:eastAsiaTheme="minorEastAsia"/>
          <w:sz w:val="18"/>
          <w:szCs w:val="18"/>
        </w:rPr>
        <w:t xml:space="preserve"> </w:t>
      </w:r>
      <w:r w:rsidRPr="00637DDC">
        <w:rPr>
          <w:rFonts w:eastAsiaTheme="minorEastAsia"/>
          <w:sz w:val="18"/>
          <w:szCs w:val="18"/>
        </w:rPr>
        <w:t xml:space="preserve"> část </w:t>
      </w:r>
      <w:r w:rsidR="00A05C6B" w:rsidRPr="00637DDC">
        <w:rPr>
          <w:rFonts w:eastAsiaTheme="minorEastAsia"/>
          <w:sz w:val="18"/>
          <w:szCs w:val="18"/>
        </w:rPr>
        <w:t xml:space="preserve"> </w:t>
      </w:r>
      <w:r w:rsidRPr="00637DDC">
        <w:rPr>
          <w:rFonts w:eastAsiaTheme="minorEastAsia"/>
          <w:sz w:val="18"/>
          <w:szCs w:val="18"/>
        </w:rPr>
        <w:t xml:space="preserve">malých a </w:t>
      </w:r>
      <w:r w:rsidR="00A05C6B" w:rsidRPr="00637DDC">
        <w:rPr>
          <w:rFonts w:eastAsiaTheme="minorEastAsia"/>
          <w:sz w:val="18"/>
          <w:szCs w:val="18"/>
        </w:rPr>
        <w:t xml:space="preserve"> </w:t>
      </w:r>
      <w:r w:rsidRPr="00637DDC">
        <w:rPr>
          <w:rFonts w:eastAsiaTheme="minorEastAsia"/>
          <w:sz w:val="18"/>
          <w:szCs w:val="18"/>
        </w:rPr>
        <w:t xml:space="preserve">středních podniků je zároveň </w:t>
      </w:r>
      <w:r w:rsidR="00A05C6B" w:rsidRPr="00637DDC">
        <w:rPr>
          <w:rFonts w:eastAsiaTheme="minorEastAsia"/>
          <w:sz w:val="18"/>
          <w:szCs w:val="18"/>
        </w:rPr>
        <w:t xml:space="preserve"> </w:t>
      </w:r>
      <w:r w:rsidRPr="00637DDC">
        <w:rPr>
          <w:rFonts w:eastAsiaTheme="minorEastAsia"/>
          <w:sz w:val="18"/>
          <w:szCs w:val="18"/>
        </w:rPr>
        <w:t>značně závislá</w:t>
      </w:r>
    </w:p>
    <w:p w:rsidR="00A05C6B" w:rsidRDefault="00A05C6B" w:rsidP="00713AF3">
      <w:pPr>
        <w:pStyle w:val="Text"/>
        <w:spacing w:before="0"/>
        <w:rPr>
          <w:rFonts w:eastAsiaTheme="minorHAnsi"/>
          <w:sz w:val="18"/>
          <w:szCs w:val="18"/>
          <w:lang w:eastAsia="en-US"/>
        </w:rPr>
      </w:pPr>
    </w:p>
    <w:p w:rsidR="00A05C6B" w:rsidRPr="00637DDC" w:rsidRDefault="00713AF3" w:rsidP="00713AF3">
      <w:pPr>
        <w:pStyle w:val="Text"/>
        <w:spacing w:before="0"/>
        <w:rPr>
          <w:rFonts w:eastAsiaTheme="minorEastAsia"/>
          <w:sz w:val="18"/>
          <w:szCs w:val="18"/>
        </w:rPr>
      </w:pPr>
      <w:r w:rsidRPr="00637DDC">
        <w:rPr>
          <w:rFonts w:eastAsiaTheme="minorEastAsia"/>
          <w:sz w:val="18"/>
          <w:szCs w:val="18"/>
        </w:rPr>
        <w:lastRenderedPageBreak/>
        <w:t xml:space="preserve"> </w:t>
      </w:r>
      <w:r w:rsidR="00637DDC" w:rsidRPr="00637DDC">
        <w:rPr>
          <w:rFonts w:eastAsiaTheme="minorEastAsia"/>
          <w:sz w:val="18"/>
          <w:szCs w:val="18"/>
        </w:rPr>
        <w:t>n</w:t>
      </w:r>
      <w:r w:rsidRPr="00637DDC">
        <w:rPr>
          <w:rFonts w:eastAsiaTheme="minorEastAsia"/>
          <w:sz w:val="18"/>
          <w:szCs w:val="18"/>
        </w:rPr>
        <w:t>a</w:t>
      </w:r>
      <w:r w:rsidR="00637DDC" w:rsidRPr="00637DDC">
        <w:rPr>
          <w:rFonts w:eastAsiaTheme="minorEastAsia"/>
          <w:sz w:val="18"/>
          <w:szCs w:val="18"/>
        </w:rPr>
        <w:t xml:space="preserve"> </w:t>
      </w:r>
      <w:r w:rsidRPr="00637DDC">
        <w:rPr>
          <w:rFonts w:eastAsiaTheme="minorEastAsia"/>
          <w:sz w:val="18"/>
          <w:szCs w:val="18"/>
        </w:rPr>
        <w:t xml:space="preserve"> vývoji těchto velkých podniků, neboť jsou jejich dodavateli.</w:t>
      </w:r>
    </w:p>
    <w:p w:rsidR="00713AF3" w:rsidRPr="00637DDC" w:rsidRDefault="00713AF3" w:rsidP="00713AF3">
      <w:pPr>
        <w:pStyle w:val="Text"/>
        <w:spacing w:before="0"/>
        <w:rPr>
          <w:rFonts w:eastAsiaTheme="minorEastAsia"/>
          <w:sz w:val="18"/>
          <w:szCs w:val="18"/>
        </w:rPr>
      </w:pPr>
      <w:r w:rsidRPr="00637DDC">
        <w:rPr>
          <w:rFonts w:eastAsiaTheme="minorEastAsia"/>
          <w:sz w:val="18"/>
          <w:szCs w:val="18"/>
        </w:rPr>
        <w:t xml:space="preserve"> Například ŠKODA AUTO má stovky významných dodavatelů, které se při problémech této společnosti dostanou taktéž do problémů. Stabilita ekonomiky je tak značně ovlivněna hospodařením několika málo velkých společností.</w:t>
      </w:r>
    </w:p>
    <w:p w:rsidR="00713AF3" w:rsidRPr="00637DDC" w:rsidRDefault="00713AF3" w:rsidP="00713AF3">
      <w:pPr>
        <w:pStyle w:val="Text"/>
        <w:spacing w:before="0"/>
        <w:rPr>
          <w:rFonts w:eastAsiaTheme="minorEastAsia"/>
          <w:sz w:val="18"/>
          <w:szCs w:val="18"/>
        </w:rPr>
      </w:pPr>
      <w:r w:rsidRPr="00637DDC">
        <w:rPr>
          <w:rFonts w:eastAsiaTheme="minorEastAsia"/>
          <w:sz w:val="18"/>
          <w:szCs w:val="18"/>
        </w:rPr>
        <w:t xml:space="preserve">Z uvedených dat je zřejmé, že firmy v </w:t>
      </w:r>
      <w:proofErr w:type="spellStart"/>
      <w:r w:rsidRPr="00637DDC">
        <w:rPr>
          <w:rFonts w:eastAsiaTheme="minorEastAsia"/>
          <w:sz w:val="18"/>
          <w:szCs w:val="18"/>
        </w:rPr>
        <w:t>mezoekonomice</w:t>
      </w:r>
      <w:proofErr w:type="spellEnd"/>
      <w:r w:rsidRPr="00637DDC">
        <w:rPr>
          <w:rFonts w:eastAsiaTheme="minorEastAsia"/>
          <w:sz w:val="18"/>
          <w:szCs w:val="18"/>
        </w:rPr>
        <w:t xml:space="preserve"> jsou pilířem národní ekonomiky a jejich role se zvětšuje. Současný ekonomický pokles je dále posílí, protože mají dostatečné finanční rezervy a mají velmi silnou vyjednávací pozici jak v obchodních vztazích, tak ale i ve vztahu ke státu a možné ekonomické pomoci. Na druhou stranu je nutné ocenit, že koncentrace finančních prostředků umožňuje těmto firmám investovat do výzkumu a do nových technologií a mají schopnost získávat a zaměstnávat kvalitní pracovní sílu.</w:t>
      </w:r>
    </w:p>
    <w:p w:rsidR="00797714" w:rsidRDefault="00797714" w:rsidP="00797714">
      <w:pPr>
        <w:spacing w:after="0" w:line="240" w:lineRule="auto"/>
        <w:jc w:val="both"/>
        <w:rPr>
          <w:rFonts w:ascii="Times New Roman" w:hAnsi="Times New Roman" w:cs="Times New Roman"/>
          <w:sz w:val="18"/>
          <w:szCs w:val="18"/>
        </w:rPr>
      </w:pPr>
    </w:p>
    <w:p w:rsidR="00320C11" w:rsidRPr="0021593F" w:rsidRDefault="00320C11" w:rsidP="00797714">
      <w:pPr>
        <w:spacing w:after="0" w:line="240" w:lineRule="auto"/>
        <w:jc w:val="both"/>
        <w:rPr>
          <w:rFonts w:ascii="Times New Roman" w:hAnsi="Times New Roman" w:cs="Times New Roman"/>
          <w:sz w:val="18"/>
          <w:szCs w:val="18"/>
        </w:rPr>
      </w:pPr>
      <w:r w:rsidRPr="0021593F">
        <w:rPr>
          <w:rFonts w:ascii="Times New Roman" w:hAnsi="Times New Roman" w:cs="Times New Roman"/>
          <w:sz w:val="18"/>
          <w:szCs w:val="18"/>
        </w:rPr>
        <w:t>Zdroje</w:t>
      </w:r>
    </w:p>
    <w:p w:rsidR="00320C11" w:rsidRPr="0021593F" w:rsidRDefault="00320C11" w:rsidP="00797714">
      <w:pPr>
        <w:spacing w:after="0" w:line="240" w:lineRule="auto"/>
        <w:jc w:val="both"/>
        <w:rPr>
          <w:rFonts w:ascii="Times New Roman" w:hAnsi="Times New Roman" w:cs="Times New Roman"/>
          <w:sz w:val="18"/>
          <w:szCs w:val="18"/>
        </w:rPr>
      </w:pPr>
    </w:p>
    <w:p w:rsidR="00713AF3" w:rsidRPr="00713AF3" w:rsidRDefault="00E90A93" w:rsidP="00713AF3">
      <w:pPr>
        <w:pStyle w:val="Odstavecseseznamem"/>
        <w:numPr>
          <w:ilvl w:val="0"/>
          <w:numId w:val="7"/>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Blažek, J., Uhlíř</w:t>
      </w:r>
      <w:r w:rsidR="00713AF3" w:rsidRPr="00713AF3">
        <w:rPr>
          <w:rFonts w:ascii="Times New Roman" w:hAnsi="Times New Roman" w:cs="Times New Roman"/>
          <w:sz w:val="18"/>
          <w:szCs w:val="18"/>
        </w:rPr>
        <w:t>, D., Teorie regionálního rozvoje: nástin, kritika, klasifikace, Karolinum 2002, ISBN 8024603845</w:t>
      </w:r>
    </w:p>
    <w:p w:rsidR="00713AF3" w:rsidRPr="00713AF3" w:rsidRDefault="00E90A93" w:rsidP="00713AF3">
      <w:pPr>
        <w:pStyle w:val="Odstavecseseznamem"/>
        <w:numPr>
          <w:ilvl w:val="0"/>
          <w:numId w:val="7"/>
        </w:numPr>
        <w:spacing w:after="0" w:line="240" w:lineRule="auto"/>
        <w:ind w:left="284" w:hanging="284"/>
        <w:jc w:val="both"/>
        <w:rPr>
          <w:rFonts w:ascii="Times New Roman" w:hAnsi="Times New Roman" w:cs="Times New Roman"/>
          <w:sz w:val="18"/>
          <w:szCs w:val="18"/>
        </w:rPr>
      </w:pPr>
      <w:proofErr w:type="spellStart"/>
      <w:r>
        <w:rPr>
          <w:rFonts w:ascii="Times New Roman" w:hAnsi="Times New Roman" w:cs="Times New Roman"/>
          <w:sz w:val="18"/>
          <w:szCs w:val="18"/>
        </w:rPr>
        <w:t>Blomstrom</w:t>
      </w:r>
      <w:proofErr w:type="spellEnd"/>
      <w:r>
        <w:rPr>
          <w:rFonts w:ascii="Times New Roman" w:hAnsi="Times New Roman" w:cs="Times New Roman"/>
          <w:sz w:val="18"/>
          <w:szCs w:val="18"/>
        </w:rPr>
        <w:t xml:space="preserve">, M., </w:t>
      </w:r>
      <w:proofErr w:type="spellStart"/>
      <w:r>
        <w:rPr>
          <w:rFonts w:ascii="Times New Roman" w:hAnsi="Times New Roman" w:cs="Times New Roman"/>
          <w:sz w:val="18"/>
          <w:szCs w:val="18"/>
        </w:rPr>
        <w:t>Kokko</w:t>
      </w:r>
      <w:proofErr w:type="spellEnd"/>
      <w:r w:rsidR="00713AF3" w:rsidRPr="00713AF3">
        <w:rPr>
          <w:rFonts w:ascii="Times New Roman" w:hAnsi="Times New Roman" w:cs="Times New Roman"/>
          <w:sz w:val="18"/>
          <w:szCs w:val="18"/>
        </w:rPr>
        <w:t xml:space="preserve">, A. (1996): </w:t>
      </w:r>
      <w:proofErr w:type="spellStart"/>
      <w:r w:rsidR="00713AF3" w:rsidRPr="00713AF3">
        <w:rPr>
          <w:rFonts w:ascii="Times New Roman" w:hAnsi="Times New Roman" w:cs="Times New Roman"/>
          <w:sz w:val="18"/>
          <w:szCs w:val="18"/>
        </w:rPr>
        <w:t>Multinational</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Corporations</w:t>
      </w:r>
      <w:proofErr w:type="spellEnd"/>
      <w:r w:rsidR="00713AF3" w:rsidRPr="00713AF3">
        <w:rPr>
          <w:rFonts w:ascii="Times New Roman" w:hAnsi="Times New Roman" w:cs="Times New Roman"/>
          <w:sz w:val="18"/>
          <w:szCs w:val="18"/>
        </w:rPr>
        <w:t xml:space="preserve"> and </w:t>
      </w:r>
      <w:proofErr w:type="spellStart"/>
      <w:r w:rsidR="00713AF3" w:rsidRPr="00713AF3">
        <w:rPr>
          <w:rFonts w:ascii="Times New Roman" w:hAnsi="Times New Roman" w:cs="Times New Roman"/>
          <w:sz w:val="18"/>
          <w:szCs w:val="18"/>
        </w:rPr>
        <w:t>Spillovers</w:t>
      </w:r>
      <w:proofErr w:type="spellEnd"/>
      <w:r w:rsidR="00713AF3" w:rsidRPr="00713AF3">
        <w:rPr>
          <w:rFonts w:ascii="Times New Roman" w:hAnsi="Times New Roman" w:cs="Times New Roman"/>
          <w:sz w:val="18"/>
          <w:szCs w:val="18"/>
        </w:rPr>
        <w:t xml:space="preserve">, CEPR </w:t>
      </w:r>
      <w:proofErr w:type="spellStart"/>
      <w:r w:rsidR="00713AF3" w:rsidRPr="00713AF3">
        <w:rPr>
          <w:rFonts w:ascii="Times New Roman" w:hAnsi="Times New Roman" w:cs="Times New Roman"/>
          <w:sz w:val="18"/>
          <w:szCs w:val="18"/>
        </w:rPr>
        <w:t>Discussion</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Papers</w:t>
      </w:r>
      <w:proofErr w:type="spellEnd"/>
      <w:r w:rsidR="00713AF3" w:rsidRPr="00713AF3">
        <w:rPr>
          <w:rFonts w:ascii="Times New Roman" w:hAnsi="Times New Roman" w:cs="Times New Roman"/>
          <w:sz w:val="18"/>
          <w:szCs w:val="18"/>
        </w:rPr>
        <w:t xml:space="preserve"> 1365, C.E.P.R. </w:t>
      </w:r>
      <w:proofErr w:type="spellStart"/>
      <w:r w:rsidR="00713AF3" w:rsidRPr="00713AF3">
        <w:rPr>
          <w:rFonts w:ascii="Times New Roman" w:hAnsi="Times New Roman" w:cs="Times New Roman"/>
          <w:sz w:val="18"/>
          <w:szCs w:val="18"/>
        </w:rPr>
        <w:t>Discussion</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Papers</w:t>
      </w:r>
      <w:proofErr w:type="spellEnd"/>
    </w:p>
    <w:p w:rsidR="00713AF3" w:rsidRPr="00713AF3" w:rsidRDefault="00A05C6B" w:rsidP="00713AF3">
      <w:pPr>
        <w:pStyle w:val="Odstavecseseznamem"/>
        <w:numPr>
          <w:ilvl w:val="0"/>
          <w:numId w:val="7"/>
        </w:numPr>
        <w:spacing w:after="0" w:line="240" w:lineRule="auto"/>
        <w:ind w:left="284" w:hanging="284"/>
        <w:jc w:val="both"/>
        <w:rPr>
          <w:rFonts w:ascii="Times New Roman" w:hAnsi="Times New Roman" w:cs="Times New Roman"/>
          <w:sz w:val="18"/>
          <w:szCs w:val="18"/>
        </w:rPr>
      </w:pPr>
      <w:proofErr w:type="spellStart"/>
      <w:r>
        <w:rPr>
          <w:rFonts w:ascii="Times New Roman" w:hAnsi="Times New Roman" w:cs="Times New Roman"/>
          <w:sz w:val="18"/>
          <w:szCs w:val="18"/>
        </w:rPr>
        <w:t>Blomstrom</w:t>
      </w:r>
      <w:proofErr w:type="spellEnd"/>
      <w:r>
        <w:rPr>
          <w:rFonts w:ascii="Times New Roman" w:hAnsi="Times New Roman" w:cs="Times New Roman"/>
          <w:sz w:val="18"/>
          <w:szCs w:val="18"/>
        </w:rPr>
        <w:t xml:space="preserve">, M. - </w:t>
      </w:r>
      <w:proofErr w:type="spellStart"/>
      <w:r>
        <w:rPr>
          <w:rFonts w:ascii="Times New Roman" w:hAnsi="Times New Roman" w:cs="Times New Roman"/>
          <w:sz w:val="18"/>
          <w:szCs w:val="18"/>
        </w:rPr>
        <w:t>Sjoholm</w:t>
      </w:r>
      <w:proofErr w:type="spellEnd"/>
      <w:r w:rsidR="00713AF3" w:rsidRPr="00713AF3">
        <w:rPr>
          <w:rFonts w:ascii="Times New Roman" w:hAnsi="Times New Roman" w:cs="Times New Roman"/>
          <w:sz w:val="18"/>
          <w:szCs w:val="18"/>
        </w:rPr>
        <w:t xml:space="preserve">, F. (1998): Technology, Transfer and </w:t>
      </w:r>
      <w:proofErr w:type="spellStart"/>
      <w:r w:rsidR="00713AF3" w:rsidRPr="00713AF3">
        <w:rPr>
          <w:rFonts w:ascii="Times New Roman" w:hAnsi="Times New Roman" w:cs="Times New Roman"/>
          <w:sz w:val="18"/>
          <w:szCs w:val="18"/>
        </w:rPr>
        <w:t>Spillovers</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Does</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Local</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Participation</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With</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Multinationals</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Matter</w:t>
      </w:r>
      <w:proofErr w:type="spellEnd"/>
      <w:r w:rsidR="00713AF3" w:rsidRPr="00713AF3">
        <w:rPr>
          <w:rFonts w:ascii="Times New Roman" w:hAnsi="Times New Roman" w:cs="Times New Roman"/>
          <w:sz w:val="18"/>
          <w:szCs w:val="18"/>
        </w:rPr>
        <w:t xml:space="preserve">?, CEPR </w:t>
      </w:r>
      <w:proofErr w:type="spellStart"/>
      <w:r w:rsidR="00713AF3" w:rsidRPr="00713AF3">
        <w:rPr>
          <w:rFonts w:ascii="Times New Roman" w:hAnsi="Times New Roman" w:cs="Times New Roman"/>
          <w:sz w:val="18"/>
          <w:szCs w:val="18"/>
        </w:rPr>
        <w:t>Discussion</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Papers</w:t>
      </w:r>
      <w:proofErr w:type="spellEnd"/>
      <w:r w:rsidR="00713AF3" w:rsidRPr="00713AF3">
        <w:rPr>
          <w:rFonts w:ascii="Times New Roman" w:hAnsi="Times New Roman" w:cs="Times New Roman"/>
          <w:sz w:val="18"/>
          <w:szCs w:val="18"/>
        </w:rPr>
        <w:t xml:space="preserve"> 2048, C.E.P.R. </w:t>
      </w:r>
      <w:proofErr w:type="spellStart"/>
      <w:r w:rsidR="00713AF3" w:rsidRPr="00713AF3">
        <w:rPr>
          <w:rFonts w:ascii="Times New Roman" w:hAnsi="Times New Roman" w:cs="Times New Roman"/>
          <w:sz w:val="18"/>
          <w:szCs w:val="18"/>
        </w:rPr>
        <w:t>Discussion</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Papers</w:t>
      </w:r>
      <w:proofErr w:type="spellEnd"/>
    </w:p>
    <w:p w:rsidR="00713AF3" w:rsidRPr="00713AF3" w:rsidRDefault="00A05C6B" w:rsidP="00713AF3">
      <w:pPr>
        <w:pStyle w:val="Odstavecseseznamem"/>
        <w:numPr>
          <w:ilvl w:val="0"/>
          <w:numId w:val="7"/>
        </w:numPr>
        <w:spacing w:after="0" w:line="240" w:lineRule="auto"/>
        <w:ind w:left="284" w:hanging="284"/>
        <w:jc w:val="both"/>
        <w:rPr>
          <w:rFonts w:ascii="Times New Roman" w:hAnsi="Times New Roman" w:cs="Times New Roman"/>
          <w:sz w:val="18"/>
          <w:szCs w:val="18"/>
        </w:rPr>
      </w:pPr>
      <w:proofErr w:type="spellStart"/>
      <w:r>
        <w:rPr>
          <w:rFonts w:ascii="Times New Roman" w:hAnsi="Times New Roman" w:cs="Times New Roman"/>
          <w:sz w:val="18"/>
          <w:szCs w:val="18"/>
        </w:rPr>
        <w:t>Damborsky</w:t>
      </w:r>
      <w:proofErr w:type="spellEnd"/>
      <w:r>
        <w:rPr>
          <w:rFonts w:ascii="Times New Roman" w:hAnsi="Times New Roman" w:cs="Times New Roman"/>
          <w:sz w:val="18"/>
          <w:szCs w:val="18"/>
        </w:rPr>
        <w:t>, M., Hornychová</w:t>
      </w:r>
      <w:r w:rsidR="00713AF3" w:rsidRPr="00713AF3">
        <w:rPr>
          <w:rFonts w:ascii="Times New Roman" w:hAnsi="Times New Roman" w:cs="Times New Roman"/>
          <w:sz w:val="18"/>
          <w:szCs w:val="18"/>
        </w:rPr>
        <w:t>, T., Vliv velkých firem na ekonomiku České republiky [online]. In: . 2014. Vysoká škola ekonomická v Praze, 2014, s. 44 [cit. 2017-06-15]. Dostupné z: http://srsv.vse.cz/wp-content/uploads/2014/02/velke-firmy12.pdf</w:t>
      </w:r>
    </w:p>
    <w:p w:rsidR="00713AF3" w:rsidRPr="00713AF3" w:rsidRDefault="00A05C6B" w:rsidP="00713AF3">
      <w:pPr>
        <w:pStyle w:val="Odstavecseseznamem"/>
        <w:numPr>
          <w:ilvl w:val="0"/>
          <w:numId w:val="7"/>
        </w:numPr>
        <w:spacing w:after="0" w:line="240" w:lineRule="auto"/>
        <w:ind w:left="284" w:hanging="284"/>
        <w:jc w:val="both"/>
        <w:rPr>
          <w:rFonts w:ascii="Times New Roman" w:hAnsi="Times New Roman" w:cs="Times New Roman"/>
          <w:sz w:val="18"/>
          <w:szCs w:val="18"/>
        </w:rPr>
      </w:pPr>
      <w:proofErr w:type="spellStart"/>
      <w:r>
        <w:rPr>
          <w:rFonts w:ascii="Times New Roman" w:hAnsi="Times New Roman" w:cs="Times New Roman"/>
          <w:sz w:val="18"/>
          <w:szCs w:val="18"/>
        </w:rPr>
        <w:t>Gorg</w:t>
      </w:r>
      <w:proofErr w:type="spellEnd"/>
      <w:r>
        <w:rPr>
          <w:rFonts w:ascii="Times New Roman" w:hAnsi="Times New Roman" w:cs="Times New Roman"/>
          <w:sz w:val="18"/>
          <w:szCs w:val="18"/>
        </w:rPr>
        <w:t xml:space="preserve">, H., </w:t>
      </w:r>
      <w:proofErr w:type="spellStart"/>
      <w:r>
        <w:rPr>
          <w:rFonts w:ascii="Times New Roman" w:hAnsi="Times New Roman" w:cs="Times New Roman"/>
          <w:sz w:val="18"/>
          <w:szCs w:val="18"/>
        </w:rPr>
        <w:t>Strobl</w:t>
      </w:r>
      <w:proofErr w:type="spellEnd"/>
      <w:r w:rsidR="00713AF3" w:rsidRPr="00713AF3">
        <w:rPr>
          <w:rFonts w:ascii="Times New Roman" w:hAnsi="Times New Roman" w:cs="Times New Roman"/>
          <w:sz w:val="18"/>
          <w:szCs w:val="18"/>
        </w:rPr>
        <w:t xml:space="preserve">, E. (2005): </w:t>
      </w:r>
      <w:proofErr w:type="spellStart"/>
      <w:r w:rsidR="00713AF3" w:rsidRPr="00713AF3">
        <w:rPr>
          <w:rFonts w:ascii="Times New Roman" w:hAnsi="Times New Roman" w:cs="Times New Roman"/>
          <w:sz w:val="18"/>
          <w:szCs w:val="18"/>
        </w:rPr>
        <w:t>Spillovers</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from</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Foreign</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Firms</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through</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Worker</w:t>
      </w:r>
      <w:proofErr w:type="spellEnd"/>
      <w:r w:rsidR="00713AF3" w:rsidRPr="00713AF3">
        <w:rPr>
          <w:rFonts w:ascii="Times New Roman" w:hAnsi="Times New Roman" w:cs="Times New Roman"/>
          <w:sz w:val="18"/>
          <w:szCs w:val="18"/>
        </w:rPr>
        <w:t xml:space="preserve"> Mobility: </w:t>
      </w:r>
      <w:proofErr w:type="spellStart"/>
      <w:r w:rsidR="00713AF3" w:rsidRPr="00713AF3">
        <w:rPr>
          <w:rFonts w:ascii="Times New Roman" w:hAnsi="Times New Roman" w:cs="Times New Roman"/>
          <w:sz w:val="18"/>
          <w:szCs w:val="18"/>
        </w:rPr>
        <w:t>An</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Empirical</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Investigation</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The</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Scandinavian</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Journal</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of</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Economics</w:t>
      </w:r>
      <w:proofErr w:type="spellEnd"/>
      <w:r w:rsidR="00713AF3" w:rsidRPr="00713AF3">
        <w:rPr>
          <w:rFonts w:ascii="Times New Roman" w:hAnsi="Times New Roman" w:cs="Times New Roman"/>
          <w:sz w:val="18"/>
          <w:szCs w:val="18"/>
        </w:rPr>
        <w:t xml:space="preserve">, Vol.107, No. 4, Technology and </w:t>
      </w:r>
      <w:proofErr w:type="spellStart"/>
      <w:r w:rsidR="00713AF3" w:rsidRPr="00713AF3">
        <w:rPr>
          <w:rFonts w:ascii="Times New Roman" w:hAnsi="Times New Roman" w:cs="Times New Roman"/>
          <w:sz w:val="18"/>
          <w:szCs w:val="18"/>
        </w:rPr>
        <w:t>Change</w:t>
      </w:r>
      <w:proofErr w:type="spellEnd"/>
      <w:r w:rsidR="00713AF3" w:rsidRPr="00713AF3">
        <w:rPr>
          <w:rFonts w:ascii="Times New Roman" w:hAnsi="Times New Roman" w:cs="Times New Roman"/>
          <w:sz w:val="18"/>
          <w:szCs w:val="18"/>
        </w:rPr>
        <w:t>, pp. 693-709</w:t>
      </w:r>
    </w:p>
    <w:p w:rsidR="00713AF3" w:rsidRPr="00713AF3" w:rsidRDefault="00A05C6B" w:rsidP="00713AF3">
      <w:pPr>
        <w:pStyle w:val="Odstavecseseznamem"/>
        <w:numPr>
          <w:ilvl w:val="0"/>
          <w:numId w:val="7"/>
        </w:numPr>
        <w:spacing w:after="0" w:line="240" w:lineRule="auto"/>
        <w:ind w:left="284" w:hanging="284"/>
        <w:jc w:val="both"/>
        <w:rPr>
          <w:rFonts w:ascii="Times New Roman" w:hAnsi="Times New Roman" w:cs="Times New Roman"/>
          <w:sz w:val="18"/>
          <w:szCs w:val="18"/>
        </w:rPr>
      </w:pPr>
      <w:proofErr w:type="spellStart"/>
      <w:r>
        <w:rPr>
          <w:rFonts w:ascii="Times New Roman" w:hAnsi="Times New Roman" w:cs="Times New Roman"/>
          <w:sz w:val="18"/>
          <w:szCs w:val="18"/>
        </w:rPr>
        <w:t>Hicks</w:t>
      </w:r>
      <w:proofErr w:type="spellEnd"/>
      <w:r w:rsidR="00713AF3" w:rsidRPr="00713AF3">
        <w:rPr>
          <w:rFonts w:ascii="Times New Roman" w:hAnsi="Times New Roman" w:cs="Times New Roman"/>
          <w:sz w:val="18"/>
          <w:szCs w:val="18"/>
        </w:rPr>
        <w:t xml:space="preserve">, J. R. Mr. </w:t>
      </w:r>
      <w:proofErr w:type="spellStart"/>
      <w:r w:rsidR="00713AF3" w:rsidRPr="00713AF3">
        <w:rPr>
          <w:rFonts w:ascii="Times New Roman" w:hAnsi="Times New Roman" w:cs="Times New Roman"/>
          <w:sz w:val="18"/>
          <w:szCs w:val="18"/>
        </w:rPr>
        <w:t>Keynes</w:t>
      </w:r>
      <w:proofErr w:type="spellEnd"/>
      <w:r w:rsidR="00713AF3" w:rsidRPr="00713AF3">
        <w:rPr>
          <w:rFonts w:ascii="Times New Roman" w:hAnsi="Times New Roman" w:cs="Times New Roman"/>
          <w:sz w:val="18"/>
          <w:szCs w:val="18"/>
        </w:rPr>
        <w:t xml:space="preserve"> and </w:t>
      </w:r>
      <w:proofErr w:type="spellStart"/>
      <w:r w:rsidR="00713AF3" w:rsidRPr="00713AF3">
        <w:rPr>
          <w:rFonts w:ascii="Times New Roman" w:hAnsi="Times New Roman" w:cs="Times New Roman"/>
          <w:sz w:val="18"/>
          <w:szCs w:val="18"/>
        </w:rPr>
        <w:t>the</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Classics</w:t>
      </w:r>
      <w:proofErr w:type="spellEnd"/>
      <w:r w:rsidR="00713AF3" w:rsidRPr="00713AF3">
        <w:rPr>
          <w:rFonts w:ascii="Times New Roman" w:hAnsi="Times New Roman" w:cs="Times New Roman"/>
          <w:sz w:val="18"/>
          <w:szCs w:val="18"/>
        </w:rPr>
        <w:t xml:space="preserve">"; A </w:t>
      </w:r>
      <w:proofErr w:type="spellStart"/>
      <w:r w:rsidR="00713AF3" w:rsidRPr="00713AF3">
        <w:rPr>
          <w:rFonts w:ascii="Times New Roman" w:hAnsi="Times New Roman" w:cs="Times New Roman"/>
          <w:sz w:val="18"/>
          <w:szCs w:val="18"/>
        </w:rPr>
        <w:t>Suggested</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Interpretation</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Econometrica</w:t>
      </w:r>
      <w:proofErr w:type="spellEnd"/>
      <w:r w:rsidR="00713AF3" w:rsidRPr="00713AF3">
        <w:rPr>
          <w:rFonts w:ascii="Times New Roman" w:hAnsi="Times New Roman" w:cs="Times New Roman"/>
          <w:sz w:val="18"/>
          <w:szCs w:val="18"/>
        </w:rPr>
        <w:t>. 1937, 5(2), DOI: 10.2307/1907242. ISSN 00129682. Dostupné také z: http://www.jstor.org/stable/1907242?origin=crossref</w:t>
      </w:r>
    </w:p>
    <w:p w:rsidR="00713AF3" w:rsidRPr="00713AF3" w:rsidRDefault="00A05C6B" w:rsidP="00713AF3">
      <w:pPr>
        <w:pStyle w:val="Odstavecseseznamem"/>
        <w:numPr>
          <w:ilvl w:val="0"/>
          <w:numId w:val="7"/>
        </w:numPr>
        <w:spacing w:after="0" w:line="240" w:lineRule="auto"/>
        <w:ind w:left="284" w:hanging="284"/>
        <w:jc w:val="both"/>
        <w:rPr>
          <w:rFonts w:ascii="Times New Roman" w:hAnsi="Times New Roman" w:cs="Times New Roman"/>
          <w:sz w:val="18"/>
          <w:szCs w:val="18"/>
        </w:rPr>
      </w:pPr>
      <w:proofErr w:type="spellStart"/>
      <w:r>
        <w:rPr>
          <w:rFonts w:ascii="Times New Roman" w:hAnsi="Times New Roman" w:cs="Times New Roman"/>
          <w:sz w:val="18"/>
          <w:szCs w:val="18"/>
        </w:rPr>
        <w:t>Holland</w:t>
      </w:r>
      <w:proofErr w:type="spellEnd"/>
      <w:r w:rsidR="00713AF3" w:rsidRPr="00713AF3">
        <w:rPr>
          <w:rFonts w:ascii="Times New Roman" w:hAnsi="Times New Roman" w:cs="Times New Roman"/>
          <w:sz w:val="18"/>
          <w:szCs w:val="18"/>
        </w:rPr>
        <w:t xml:space="preserve">, S., </w:t>
      </w:r>
      <w:proofErr w:type="spellStart"/>
      <w:r w:rsidR="00713AF3" w:rsidRPr="00713AF3">
        <w:rPr>
          <w:rFonts w:ascii="Times New Roman" w:hAnsi="Times New Roman" w:cs="Times New Roman"/>
          <w:sz w:val="18"/>
          <w:szCs w:val="18"/>
        </w:rPr>
        <w:t>The</w:t>
      </w:r>
      <w:proofErr w:type="spellEnd"/>
      <w:r w:rsidR="00713AF3" w:rsidRPr="00713AF3">
        <w:rPr>
          <w:rFonts w:ascii="Times New Roman" w:hAnsi="Times New Roman" w:cs="Times New Roman"/>
          <w:sz w:val="18"/>
          <w:szCs w:val="18"/>
        </w:rPr>
        <w:t xml:space="preserve"> Market </w:t>
      </w:r>
      <w:proofErr w:type="spellStart"/>
      <w:r w:rsidR="00713AF3" w:rsidRPr="00713AF3">
        <w:rPr>
          <w:rFonts w:ascii="Times New Roman" w:hAnsi="Times New Roman" w:cs="Times New Roman"/>
          <w:sz w:val="18"/>
          <w:szCs w:val="18"/>
        </w:rPr>
        <w:t>Economy</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From</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Micro</w:t>
      </w:r>
      <w:proofErr w:type="spellEnd"/>
      <w:r w:rsidR="00713AF3" w:rsidRPr="00713AF3">
        <w:rPr>
          <w:rFonts w:ascii="Times New Roman" w:hAnsi="Times New Roman" w:cs="Times New Roman"/>
          <w:sz w:val="18"/>
          <w:szCs w:val="18"/>
        </w:rPr>
        <w:t xml:space="preserve"> to </w:t>
      </w:r>
      <w:proofErr w:type="spellStart"/>
      <w:r w:rsidR="00713AF3" w:rsidRPr="00713AF3">
        <w:rPr>
          <w:rFonts w:ascii="Times New Roman" w:hAnsi="Times New Roman" w:cs="Times New Roman"/>
          <w:sz w:val="18"/>
          <w:szCs w:val="18"/>
        </w:rPr>
        <w:t>Mesoeconomics</w:t>
      </w:r>
      <w:proofErr w:type="spellEnd"/>
      <w:r w:rsidR="00713AF3" w:rsidRPr="00713AF3">
        <w:rPr>
          <w:rFonts w:ascii="Times New Roman" w:hAnsi="Times New Roman" w:cs="Times New Roman"/>
          <w:sz w:val="18"/>
          <w:szCs w:val="18"/>
        </w:rPr>
        <w:t xml:space="preserve">.         New York: St. </w:t>
      </w:r>
      <w:proofErr w:type="spellStart"/>
      <w:r w:rsidR="00713AF3" w:rsidRPr="00713AF3">
        <w:rPr>
          <w:rFonts w:ascii="Times New Roman" w:hAnsi="Times New Roman" w:cs="Times New Roman"/>
          <w:sz w:val="18"/>
          <w:szCs w:val="18"/>
        </w:rPr>
        <w:t>Martin's</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Press</w:t>
      </w:r>
      <w:proofErr w:type="spellEnd"/>
      <w:r w:rsidR="00713AF3" w:rsidRPr="00713AF3">
        <w:rPr>
          <w:rFonts w:ascii="Times New Roman" w:hAnsi="Times New Roman" w:cs="Times New Roman"/>
          <w:sz w:val="18"/>
          <w:szCs w:val="18"/>
        </w:rPr>
        <w:t>, 1987. ISBN 03-120-1324-8.</w:t>
      </w:r>
    </w:p>
    <w:p w:rsidR="00713AF3" w:rsidRPr="00713AF3" w:rsidRDefault="00A05C6B" w:rsidP="00713AF3">
      <w:pPr>
        <w:pStyle w:val="Odstavecseseznamem"/>
        <w:numPr>
          <w:ilvl w:val="0"/>
          <w:numId w:val="7"/>
        </w:numPr>
        <w:spacing w:after="0" w:line="240" w:lineRule="auto"/>
        <w:ind w:left="284" w:hanging="284"/>
        <w:jc w:val="both"/>
        <w:rPr>
          <w:rFonts w:ascii="Times New Roman" w:hAnsi="Times New Roman" w:cs="Times New Roman"/>
          <w:sz w:val="18"/>
          <w:szCs w:val="18"/>
        </w:rPr>
      </w:pPr>
      <w:proofErr w:type="spellStart"/>
      <w:r>
        <w:rPr>
          <w:rFonts w:ascii="Times New Roman" w:hAnsi="Times New Roman" w:cs="Times New Roman"/>
          <w:sz w:val="18"/>
          <w:szCs w:val="18"/>
        </w:rPr>
        <w:t>Marschall</w:t>
      </w:r>
      <w:proofErr w:type="spellEnd"/>
      <w:r w:rsidR="00713AF3" w:rsidRPr="00713AF3">
        <w:rPr>
          <w:rFonts w:ascii="Times New Roman" w:hAnsi="Times New Roman" w:cs="Times New Roman"/>
          <w:sz w:val="18"/>
          <w:szCs w:val="18"/>
        </w:rPr>
        <w:t xml:space="preserve">, A., </w:t>
      </w:r>
      <w:proofErr w:type="spellStart"/>
      <w:r w:rsidR="00713AF3" w:rsidRPr="00713AF3">
        <w:rPr>
          <w:rFonts w:ascii="Times New Roman" w:hAnsi="Times New Roman" w:cs="Times New Roman"/>
          <w:sz w:val="18"/>
          <w:szCs w:val="18"/>
        </w:rPr>
        <w:t>Principles</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of</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economics</w:t>
      </w:r>
      <w:proofErr w:type="spellEnd"/>
      <w:r w:rsidR="00713AF3" w:rsidRPr="00713AF3">
        <w:rPr>
          <w:rFonts w:ascii="Times New Roman" w:hAnsi="Times New Roman" w:cs="Times New Roman"/>
          <w:sz w:val="18"/>
          <w:szCs w:val="18"/>
        </w:rPr>
        <w:t xml:space="preserve">. 1980. </w:t>
      </w:r>
      <w:proofErr w:type="spellStart"/>
      <w:r w:rsidR="00713AF3" w:rsidRPr="00713AF3">
        <w:rPr>
          <w:rFonts w:ascii="Times New Roman" w:hAnsi="Times New Roman" w:cs="Times New Roman"/>
          <w:sz w:val="18"/>
          <w:szCs w:val="18"/>
        </w:rPr>
        <w:t>Amherst</w:t>
      </w:r>
      <w:proofErr w:type="spellEnd"/>
      <w:r w:rsidR="00713AF3" w:rsidRPr="00713AF3">
        <w:rPr>
          <w:rFonts w:ascii="Times New Roman" w:hAnsi="Times New Roman" w:cs="Times New Roman"/>
          <w:sz w:val="18"/>
          <w:szCs w:val="18"/>
        </w:rPr>
        <w:t xml:space="preserve">, N.Y: Prometheus </w:t>
      </w:r>
      <w:proofErr w:type="spellStart"/>
      <w:r w:rsidR="00713AF3" w:rsidRPr="00713AF3">
        <w:rPr>
          <w:rFonts w:ascii="Times New Roman" w:hAnsi="Times New Roman" w:cs="Times New Roman"/>
          <w:sz w:val="18"/>
          <w:szCs w:val="18"/>
        </w:rPr>
        <w:t>Books</w:t>
      </w:r>
      <w:proofErr w:type="spellEnd"/>
      <w:r w:rsidR="00713AF3" w:rsidRPr="00713AF3">
        <w:rPr>
          <w:rFonts w:ascii="Times New Roman" w:hAnsi="Times New Roman" w:cs="Times New Roman"/>
          <w:sz w:val="18"/>
          <w:szCs w:val="18"/>
        </w:rPr>
        <w:t>, 1997. ISBN 15-739-2140-8.</w:t>
      </w:r>
    </w:p>
    <w:p w:rsidR="00713AF3" w:rsidRPr="00713AF3" w:rsidRDefault="00A05C6B" w:rsidP="00713AF3">
      <w:pPr>
        <w:pStyle w:val="Odstavecseseznamem"/>
        <w:numPr>
          <w:ilvl w:val="0"/>
          <w:numId w:val="7"/>
        </w:numPr>
        <w:spacing w:after="0" w:line="240" w:lineRule="auto"/>
        <w:ind w:left="284" w:hanging="284"/>
        <w:jc w:val="both"/>
        <w:rPr>
          <w:rFonts w:ascii="Times New Roman" w:hAnsi="Times New Roman" w:cs="Times New Roman"/>
          <w:sz w:val="18"/>
          <w:szCs w:val="18"/>
        </w:rPr>
      </w:pPr>
      <w:proofErr w:type="spellStart"/>
      <w:r>
        <w:rPr>
          <w:rFonts w:ascii="Times New Roman" w:hAnsi="Times New Roman" w:cs="Times New Roman"/>
          <w:sz w:val="18"/>
          <w:szCs w:val="18"/>
        </w:rPr>
        <w:t>Ng</w:t>
      </w:r>
      <w:proofErr w:type="spellEnd"/>
      <w:r w:rsidR="00713AF3" w:rsidRPr="00713AF3">
        <w:rPr>
          <w:rFonts w:ascii="Times New Roman" w:hAnsi="Times New Roman" w:cs="Times New Roman"/>
          <w:sz w:val="18"/>
          <w:szCs w:val="18"/>
        </w:rPr>
        <w:t xml:space="preserve">, Y., </w:t>
      </w:r>
      <w:proofErr w:type="spellStart"/>
      <w:r w:rsidR="00713AF3" w:rsidRPr="00713AF3">
        <w:rPr>
          <w:rFonts w:ascii="Times New Roman" w:hAnsi="Times New Roman" w:cs="Times New Roman"/>
          <w:sz w:val="18"/>
          <w:szCs w:val="18"/>
        </w:rPr>
        <w:t>Mesoeconomics</w:t>
      </w:r>
      <w:proofErr w:type="spellEnd"/>
      <w:r w:rsidR="00713AF3" w:rsidRPr="00713AF3">
        <w:rPr>
          <w:rFonts w:ascii="Times New Roman" w:hAnsi="Times New Roman" w:cs="Times New Roman"/>
          <w:sz w:val="18"/>
          <w:szCs w:val="18"/>
        </w:rPr>
        <w:t xml:space="preserve">: A </w:t>
      </w:r>
      <w:proofErr w:type="spellStart"/>
      <w:r w:rsidR="00713AF3" w:rsidRPr="00713AF3">
        <w:rPr>
          <w:rFonts w:ascii="Times New Roman" w:hAnsi="Times New Roman" w:cs="Times New Roman"/>
          <w:sz w:val="18"/>
          <w:szCs w:val="18"/>
        </w:rPr>
        <w:t>Micro-macro</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Analysis</w:t>
      </w:r>
      <w:proofErr w:type="spellEnd"/>
      <w:r w:rsidR="00713AF3" w:rsidRPr="00713AF3">
        <w:rPr>
          <w:rFonts w:ascii="Times New Roman" w:hAnsi="Times New Roman" w:cs="Times New Roman"/>
          <w:sz w:val="18"/>
          <w:szCs w:val="18"/>
        </w:rPr>
        <w:t xml:space="preserve">. Brighton, </w:t>
      </w:r>
      <w:proofErr w:type="spellStart"/>
      <w:r w:rsidR="00713AF3" w:rsidRPr="00713AF3">
        <w:rPr>
          <w:rFonts w:ascii="Times New Roman" w:hAnsi="Times New Roman" w:cs="Times New Roman"/>
          <w:sz w:val="18"/>
          <w:szCs w:val="18"/>
        </w:rPr>
        <w:t>Sussex</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Distributed</w:t>
      </w:r>
      <w:proofErr w:type="spellEnd"/>
      <w:r w:rsidR="00713AF3" w:rsidRPr="00713AF3">
        <w:rPr>
          <w:rFonts w:ascii="Times New Roman" w:hAnsi="Times New Roman" w:cs="Times New Roman"/>
          <w:sz w:val="18"/>
          <w:szCs w:val="18"/>
        </w:rPr>
        <w:t xml:space="preserve"> by </w:t>
      </w:r>
      <w:proofErr w:type="spellStart"/>
      <w:r w:rsidR="00713AF3" w:rsidRPr="00713AF3">
        <w:rPr>
          <w:rFonts w:ascii="Times New Roman" w:hAnsi="Times New Roman" w:cs="Times New Roman"/>
          <w:sz w:val="18"/>
          <w:szCs w:val="18"/>
        </w:rPr>
        <w:t>Harvester</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Books</w:t>
      </w:r>
      <w:proofErr w:type="spellEnd"/>
      <w:r w:rsidR="00713AF3" w:rsidRPr="00713AF3">
        <w:rPr>
          <w:rFonts w:ascii="Times New Roman" w:hAnsi="Times New Roman" w:cs="Times New Roman"/>
          <w:sz w:val="18"/>
          <w:szCs w:val="18"/>
        </w:rPr>
        <w:t>, 1986. ISBN 07-108-0771-6.</w:t>
      </w:r>
    </w:p>
    <w:p w:rsidR="00713AF3" w:rsidRPr="00713AF3" w:rsidRDefault="00A05C6B" w:rsidP="00713AF3">
      <w:pPr>
        <w:pStyle w:val="Odstavecseseznamem"/>
        <w:numPr>
          <w:ilvl w:val="0"/>
          <w:numId w:val="7"/>
        </w:numPr>
        <w:spacing w:after="0" w:line="240" w:lineRule="auto"/>
        <w:ind w:left="284" w:hanging="284"/>
        <w:jc w:val="both"/>
        <w:rPr>
          <w:rFonts w:ascii="Times New Roman" w:hAnsi="Times New Roman" w:cs="Times New Roman"/>
          <w:sz w:val="18"/>
          <w:szCs w:val="18"/>
        </w:rPr>
      </w:pPr>
      <w:proofErr w:type="spellStart"/>
      <w:r>
        <w:rPr>
          <w:rFonts w:ascii="Times New Roman" w:hAnsi="Times New Roman" w:cs="Times New Roman"/>
          <w:sz w:val="18"/>
          <w:szCs w:val="18"/>
        </w:rPr>
        <w:t>Ng</w:t>
      </w:r>
      <w:proofErr w:type="spellEnd"/>
      <w:r w:rsidR="00713AF3" w:rsidRPr="00713AF3">
        <w:rPr>
          <w:rFonts w:ascii="Times New Roman" w:hAnsi="Times New Roman" w:cs="Times New Roman"/>
          <w:sz w:val="18"/>
          <w:szCs w:val="18"/>
        </w:rPr>
        <w:t xml:space="preserve">, Y., Business </w:t>
      </w:r>
      <w:proofErr w:type="spellStart"/>
      <w:r w:rsidR="00713AF3" w:rsidRPr="00713AF3">
        <w:rPr>
          <w:rFonts w:ascii="Times New Roman" w:hAnsi="Times New Roman" w:cs="Times New Roman"/>
          <w:sz w:val="18"/>
          <w:szCs w:val="18"/>
        </w:rPr>
        <w:t>Confidence</w:t>
      </w:r>
      <w:proofErr w:type="spellEnd"/>
      <w:r w:rsidR="00713AF3" w:rsidRPr="00713AF3">
        <w:rPr>
          <w:rFonts w:ascii="Times New Roman" w:hAnsi="Times New Roman" w:cs="Times New Roman"/>
          <w:sz w:val="18"/>
          <w:szCs w:val="18"/>
        </w:rPr>
        <w:t xml:space="preserve"> and </w:t>
      </w:r>
      <w:proofErr w:type="spellStart"/>
      <w:r w:rsidR="00713AF3" w:rsidRPr="00713AF3">
        <w:rPr>
          <w:rFonts w:ascii="Times New Roman" w:hAnsi="Times New Roman" w:cs="Times New Roman"/>
          <w:sz w:val="18"/>
          <w:szCs w:val="18"/>
        </w:rPr>
        <w:t>Depression</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Prevention</w:t>
      </w:r>
      <w:proofErr w:type="spellEnd"/>
      <w:r w:rsidR="00713AF3" w:rsidRPr="00713AF3">
        <w:rPr>
          <w:rFonts w:ascii="Times New Roman" w:hAnsi="Times New Roman" w:cs="Times New Roman"/>
          <w:sz w:val="18"/>
          <w:szCs w:val="18"/>
        </w:rPr>
        <w:t xml:space="preserve">: A </w:t>
      </w:r>
      <w:proofErr w:type="spellStart"/>
      <w:r w:rsidR="00713AF3" w:rsidRPr="00713AF3">
        <w:rPr>
          <w:rFonts w:ascii="Times New Roman" w:hAnsi="Times New Roman" w:cs="Times New Roman"/>
          <w:sz w:val="18"/>
          <w:szCs w:val="18"/>
        </w:rPr>
        <w:t>Mesoeconomic</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Perspective</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American</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Economic</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Review</w:t>
      </w:r>
      <w:proofErr w:type="spellEnd"/>
      <w:r w:rsidR="00713AF3" w:rsidRPr="00713AF3">
        <w:rPr>
          <w:rFonts w:ascii="Times New Roman" w:hAnsi="Times New Roman" w:cs="Times New Roman"/>
          <w:sz w:val="18"/>
          <w:szCs w:val="18"/>
        </w:rPr>
        <w:t>. 1992, 82, 365-371.</w:t>
      </w:r>
    </w:p>
    <w:p w:rsidR="00713AF3" w:rsidRPr="00713AF3" w:rsidRDefault="00A05C6B" w:rsidP="00713AF3">
      <w:pPr>
        <w:pStyle w:val="Odstavecseseznamem"/>
        <w:numPr>
          <w:ilvl w:val="0"/>
          <w:numId w:val="7"/>
        </w:numPr>
        <w:spacing w:after="0" w:line="240" w:lineRule="auto"/>
        <w:ind w:left="284" w:hanging="284"/>
        <w:jc w:val="both"/>
        <w:rPr>
          <w:rFonts w:ascii="Times New Roman" w:hAnsi="Times New Roman" w:cs="Times New Roman"/>
          <w:sz w:val="18"/>
          <w:szCs w:val="18"/>
        </w:rPr>
      </w:pPr>
      <w:proofErr w:type="spellStart"/>
      <w:r>
        <w:rPr>
          <w:rFonts w:ascii="Times New Roman" w:hAnsi="Times New Roman" w:cs="Times New Roman"/>
          <w:sz w:val="18"/>
          <w:szCs w:val="18"/>
        </w:rPr>
        <w:t>Srholec</w:t>
      </w:r>
      <w:proofErr w:type="spellEnd"/>
      <w:r>
        <w:rPr>
          <w:rFonts w:ascii="Times New Roman" w:hAnsi="Times New Roman" w:cs="Times New Roman"/>
          <w:sz w:val="18"/>
          <w:szCs w:val="18"/>
        </w:rPr>
        <w:t xml:space="preserve">, M. – </w:t>
      </w:r>
      <w:proofErr w:type="spellStart"/>
      <w:r>
        <w:rPr>
          <w:rFonts w:ascii="Times New Roman" w:hAnsi="Times New Roman" w:cs="Times New Roman"/>
          <w:sz w:val="18"/>
          <w:szCs w:val="18"/>
        </w:rPr>
        <w:t>Plojhar</w:t>
      </w:r>
      <w:proofErr w:type="spellEnd"/>
      <w:r w:rsidR="00713AF3" w:rsidRPr="00713AF3">
        <w:rPr>
          <w:rFonts w:ascii="Times New Roman" w:hAnsi="Times New Roman" w:cs="Times New Roman"/>
          <w:sz w:val="18"/>
          <w:szCs w:val="18"/>
        </w:rPr>
        <w:t xml:space="preserve">, M. (2004): </w:t>
      </w:r>
      <w:proofErr w:type="spellStart"/>
      <w:r w:rsidR="00713AF3" w:rsidRPr="00713AF3">
        <w:rPr>
          <w:rFonts w:ascii="Times New Roman" w:hAnsi="Times New Roman" w:cs="Times New Roman"/>
          <w:sz w:val="18"/>
          <w:szCs w:val="18"/>
        </w:rPr>
        <w:t>Political</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economics</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of</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investment</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incentives</w:t>
      </w:r>
      <w:proofErr w:type="spellEnd"/>
      <w:r w:rsidR="00713AF3" w:rsidRPr="00713AF3">
        <w:rPr>
          <w:rFonts w:ascii="Times New Roman" w:hAnsi="Times New Roman" w:cs="Times New Roman"/>
          <w:sz w:val="18"/>
          <w:szCs w:val="18"/>
        </w:rPr>
        <w:t xml:space="preserve">, Politická ekonomie, University </w:t>
      </w:r>
      <w:proofErr w:type="spellStart"/>
      <w:r w:rsidR="00713AF3" w:rsidRPr="00713AF3">
        <w:rPr>
          <w:rFonts w:ascii="Times New Roman" w:hAnsi="Times New Roman" w:cs="Times New Roman"/>
          <w:sz w:val="18"/>
          <w:szCs w:val="18"/>
        </w:rPr>
        <w:t>of</w:t>
      </w:r>
      <w:proofErr w:type="spellEnd"/>
      <w:r w:rsidR="00713AF3" w:rsidRPr="00713AF3">
        <w:rPr>
          <w:rFonts w:ascii="Times New Roman" w:hAnsi="Times New Roman" w:cs="Times New Roman"/>
          <w:sz w:val="18"/>
          <w:szCs w:val="18"/>
        </w:rPr>
        <w:t xml:space="preserve"> </w:t>
      </w:r>
      <w:proofErr w:type="spellStart"/>
      <w:r w:rsidR="00713AF3" w:rsidRPr="00713AF3">
        <w:rPr>
          <w:rFonts w:ascii="Times New Roman" w:hAnsi="Times New Roman" w:cs="Times New Roman"/>
          <w:sz w:val="18"/>
          <w:szCs w:val="18"/>
        </w:rPr>
        <w:t>Economics</w:t>
      </w:r>
      <w:proofErr w:type="spellEnd"/>
      <w:r w:rsidR="00713AF3" w:rsidRPr="00713AF3">
        <w:rPr>
          <w:rFonts w:ascii="Times New Roman" w:hAnsi="Times New Roman" w:cs="Times New Roman"/>
          <w:sz w:val="18"/>
          <w:szCs w:val="18"/>
        </w:rPr>
        <w:t xml:space="preserve">, Prague, Vol. 2004(4), </w:t>
      </w:r>
      <w:proofErr w:type="spellStart"/>
      <w:r w:rsidR="00713AF3" w:rsidRPr="00713AF3">
        <w:rPr>
          <w:rFonts w:ascii="Times New Roman" w:hAnsi="Times New Roman" w:cs="Times New Roman"/>
          <w:sz w:val="18"/>
          <w:szCs w:val="18"/>
        </w:rPr>
        <w:t>pages</w:t>
      </w:r>
      <w:proofErr w:type="spellEnd"/>
      <w:r w:rsidR="00713AF3" w:rsidRPr="00713AF3">
        <w:rPr>
          <w:rFonts w:ascii="Times New Roman" w:hAnsi="Times New Roman" w:cs="Times New Roman"/>
          <w:sz w:val="18"/>
          <w:szCs w:val="18"/>
        </w:rPr>
        <w:t xml:space="preserve"> 451-466</w:t>
      </w:r>
    </w:p>
    <w:p w:rsidR="00713AF3" w:rsidRPr="00713AF3" w:rsidRDefault="00A05C6B" w:rsidP="00713AF3">
      <w:pPr>
        <w:pStyle w:val="Odstavecseseznamem"/>
        <w:numPr>
          <w:ilvl w:val="0"/>
          <w:numId w:val="7"/>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Výsledky 100 nejvýznamnějších firem</w:t>
      </w:r>
      <w:r w:rsidR="00713AF3" w:rsidRPr="00713AF3">
        <w:rPr>
          <w:rFonts w:ascii="Times New Roman" w:hAnsi="Times New Roman" w:cs="Times New Roman"/>
          <w:sz w:val="18"/>
          <w:szCs w:val="18"/>
        </w:rPr>
        <w:t xml:space="preserve"> ČR</w:t>
      </w:r>
      <w:r w:rsidR="00713AF3" w:rsidRPr="00A05C6B">
        <w:rPr>
          <w:rFonts w:ascii="Times New Roman" w:hAnsi="Times New Roman" w:cs="Times New Roman"/>
          <w:sz w:val="18"/>
          <w:szCs w:val="18"/>
        </w:rPr>
        <w:t xml:space="preserve">. Czech Top 100 [online]. Praha, 2016 [cit. 2017-06-15]. Dostupné z: </w:t>
      </w:r>
      <w:hyperlink r:id="rId13" w:history="1">
        <w:r w:rsidR="00713AF3" w:rsidRPr="00713AF3">
          <w:rPr>
            <w:rFonts w:ascii="Times New Roman" w:hAnsi="Times New Roman" w:cs="Times New Roman"/>
            <w:sz w:val="18"/>
            <w:szCs w:val="18"/>
          </w:rPr>
          <w:t>http://www.czechtop100.cz/zebricky-firem/nejvyznamnejsi-firmy/100-nejvyznmanejsich-firem-cr.html</w:t>
        </w:r>
      </w:hyperlink>
      <w:r w:rsidR="00713AF3" w:rsidRPr="00713AF3">
        <w:rPr>
          <w:rFonts w:ascii="Times New Roman" w:hAnsi="Times New Roman" w:cs="Times New Roman"/>
          <w:sz w:val="18"/>
          <w:szCs w:val="18"/>
        </w:rPr>
        <w:t xml:space="preserve"> Český statistický</w:t>
      </w:r>
      <w:r w:rsidR="00713AF3">
        <w:rPr>
          <w:rFonts w:ascii="Times New Roman" w:hAnsi="Times New Roman" w:cs="Times New Roman"/>
          <w:sz w:val="18"/>
          <w:szCs w:val="18"/>
        </w:rPr>
        <w:t xml:space="preserve"> </w:t>
      </w:r>
      <w:r w:rsidR="00713AF3" w:rsidRPr="00713AF3">
        <w:rPr>
          <w:rFonts w:ascii="Times New Roman" w:hAnsi="Times New Roman" w:cs="Times New Roman"/>
          <w:sz w:val="18"/>
          <w:szCs w:val="18"/>
        </w:rPr>
        <w:t>úřad [online]. Praha, 2017 [cit. 2017-06-16]. Dostupné z: https://www.czso.cz/</w:t>
      </w:r>
    </w:p>
    <w:p w:rsidR="00320C11" w:rsidRDefault="00320C11" w:rsidP="00797714">
      <w:pPr>
        <w:spacing w:after="0" w:line="240" w:lineRule="auto"/>
        <w:jc w:val="both"/>
        <w:rPr>
          <w:rFonts w:ascii="Times New Roman" w:hAnsi="Times New Roman" w:cs="Times New Roman"/>
          <w:sz w:val="18"/>
          <w:szCs w:val="18"/>
        </w:rPr>
      </w:pPr>
    </w:p>
    <w:p w:rsidR="00933AC3" w:rsidRPr="00320C11" w:rsidRDefault="00933AC3" w:rsidP="00797714">
      <w:pPr>
        <w:spacing w:after="0" w:line="240" w:lineRule="auto"/>
        <w:jc w:val="both"/>
        <w:rPr>
          <w:rFonts w:ascii="Times New Roman" w:hAnsi="Times New Roman" w:cs="Times New Roman"/>
          <w:sz w:val="18"/>
          <w:szCs w:val="18"/>
        </w:rPr>
        <w:sectPr w:rsidR="00933AC3" w:rsidRPr="00320C11" w:rsidSect="00320C11">
          <w:type w:val="continuous"/>
          <w:pgSz w:w="11906" w:h="16838"/>
          <w:pgMar w:top="777" w:right="851" w:bottom="993" w:left="851" w:header="709" w:footer="806" w:gutter="0"/>
          <w:cols w:num="2" w:space="282"/>
          <w:docGrid w:linePitch="360"/>
        </w:sectPr>
      </w:pPr>
    </w:p>
    <w:p w:rsidR="00797714" w:rsidRDefault="00797714" w:rsidP="00122F6B">
      <w:pPr>
        <w:spacing w:after="0" w:line="240" w:lineRule="auto"/>
        <w:jc w:val="both"/>
        <w:rPr>
          <w:rFonts w:ascii="Times New Roman" w:hAnsi="Times New Roman" w:cs="Times New Roman"/>
          <w:sz w:val="18"/>
          <w:szCs w:val="18"/>
        </w:rPr>
      </w:pPr>
      <w:bookmarkStart w:id="0" w:name="_GoBack"/>
      <w:bookmarkEnd w:id="0"/>
    </w:p>
    <w:sectPr w:rsidR="00797714" w:rsidSect="00797714">
      <w:type w:val="continuous"/>
      <w:pgSz w:w="11906" w:h="16838"/>
      <w:pgMar w:top="777" w:right="851" w:bottom="851" w:left="851"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35" w:rsidRDefault="00C85235" w:rsidP="00797714">
      <w:pPr>
        <w:spacing w:after="0" w:line="240" w:lineRule="auto"/>
      </w:pPr>
      <w:r>
        <w:separator/>
      </w:r>
    </w:p>
  </w:endnote>
  <w:endnote w:type="continuationSeparator" w:id="0">
    <w:p w:rsidR="00C85235" w:rsidRDefault="00C85235" w:rsidP="0079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A4" w:rsidRDefault="001A13A4" w:rsidP="001A13A4">
    <w:pPr>
      <w:pStyle w:val="Zpat"/>
      <w:pBdr>
        <w:top w:val="single" w:sz="2" w:space="1" w:color="0066A8"/>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35" w:rsidRDefault="00C85235" w:rsidP="00797714">
      <w:pPr>
        <w:spacing w:after="0" w:line="240" w:lineRule="auto"/>
      </w:pPr>
      <w:r>
        <w:separator/>
      </w:r>
    </w:p>
  </w:footnote>
  <w:footnote w:type="continuationSeparator" w:id="0">
    <w:p w:rsidR="00C85235" w:rsidRDefault="00C85235" w:rsidP="00797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14" w:rsidRPr="00797714" w:rsidRDefault="00797714" w:rsidP="00797714">
    <w:pPr>
      <w:pStyle w:val="Zhlav"/>
      <w:rPr>
        <w:rFonts w:ascii="Times New Roman" w:hAnsi="Times New Roman" w:cs="Times New Roman"/>
        <w:i/>
        <w:color w:val="178DCD"/>
        <w:sz w:val="16"/>
        <w:szCs w:val="16"/>
      </w:rPr>
    </w:pPr>
    <w:r w:rsidRPr="00797714">
      <w:rPr>
        <w:rFonts w:ascii="Times New Roman" w:hAnsi="Times New Roman" w:cs="Times New Roman"/>
        <w:b/>
        <w:i/>
        <w:color w:val="0066A8"/>
        <w:sz w:val="16"/>
        <w:szCs w:val="16"/>
      </w:rPr>
      <w:t xml:space="preserve">GRANT </w:t>
    </w:r>
    <w:proofErr w:type="spellStart"/>
    <w:r w:rsidR="002244B5">
      <w:rPr>
        <w:rFonts w:ascii="Times New Roman" w:hAnsi="Times New Roman" w:cs="Times New Roman"/>
        <w:i/>
        <w:color w:val="178DCD"/>
        <w:sz w:val="16"/>
        <w:szCs w:val="16"/>
      </w:rPr>
      <w:t>j</w:t>
    </w:r>
    <w:r w:rsidRPr="00797714">
      <w:rPr>
        <w:rFonts w:ascii="Times New Roman" w:hAnsi="Times New Roman" w:cs="Times New Roman"/>
        <w:i/>
        <w:color w:val="178DCD"/>
        <w:sz w:val="16"/>
        <w:szCs w:val="16"/>
      </w:rPr>
      <w:t>ournal</w:t>
    </w:r>
    <w:proofErr w:type="spellEnd"/>
  </w:p>
  <w:p w:rsidR="00797714" w:rsidRPr="00CB0AC1" w:rsidRDefault="00797714" w:rsidP="00797714">
    <w:pPr>
      <w:pStyle w:val="Zhlav"/>
      <w:spacing w:after="60"/>
      <w:rPr>
        <w:rFonts w:ascii="Times New Roman" w:hAnsi="Times New Roman" w:cs="Times New Roman"/>
        <w:sz w:val="16"/>
        <w:szCs w:val="16"/>
      </w:rPr>
    </w:pPr>
    <w:r w:rsidRPr="00CB0AC1">
      <w:rPr>
        <w:rFonts w:ascii="Times New Roman" w:hAnsi="Times New Roman" w:cs="Times New Roman"/>
        <w:sz w:val="16"/>
        <w:szCs w:val="16"/>
      </w:rPr>
      <w:t>ISS</w:t>
    </w:r>
    <w:r>
      <w:rPr>
        <w:rFonts w:ascii="Times New Roman" w:hAnsi="Times New Roman" w:cs="Times New Roman"/>
        <w:sz w:val="16"/>
        <w:szCs w:val="16"/>
      </w:rPr>
      <w:t xml:space="preserve">N 1805-062X, 1805-0638 (online), ETTN </w:t>
    </w:r>
    <w:r w:rsidRPr="00CB0AC1">
      <w:rPr>
        <w:rFonts w:ascii="Times New Roman" w:hAnsi="Times New Roman" w:cs="Times New Roman"/>
        <w:sz w:val="16"/>
        <w:szCs w:val="16"/>
      </w:rPr>
      <w:t>072-11-00002-09-4</w:t>
    </w:r>
  </w:p>
  <w:tbl>
    <w:tblPr>
      <w:tblStyle w:val="Mkatabulky"/>
      <w:tblW w:w="10206" w:type="dxa"/>
      <w:jc w:val="center"/>
      <w:tblBorders>
        <w:top w:val="single" w:sz="12" w:space="0" w:color="0066A8"/>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535"/>
    </w:tblGrid>
    <w:tr w:rsidR="00797714" w:rsidRPr="00CB0AC1" w:rsidTr="007F0314">
      <w:trPr>
        <w:jc w:val="center"/>
      </w:trPr>
      <w:tc>
        <w:tcPr>
          <w:tcW w:w="5671" w:type="dxa"/>
          <w:shd w:val="clear" w:color="auto" w:fill="0066A8"/>
          <w:tcMar>
            <w:left w:w="0" w:type="dxa"/>
            <w:right w:w="0" w:type="dxa"/>
          </w:tcMar>
          <w:vAlign w:val="center"/>
        </w:tcPr>
        <w:p w:rsidR="00797714" w:rsidRPr="00CB0AC1" w:rsidRDefault="00797714" w:rsidP="007F0314">
          <w:pPr>
            <w:pStyle w:val="Zhlav"/>
            <w:jc w:val="center"/>
            <w:rPr>
              <w:rFonts w:ascii="Times New Roman" w:hAnsi="Times New Roman" w:cs="Times New Roman"/>
              <w:color w:val="FFFFFF" w:themeColor="background1"/>
              <w:sz w:val="14"/>
              <w:szCs w:val="14"/>
            </w:rPr>
          </w:pPr>
          <w:r w:rsidRPr="00CB0AC1">
            <w:rPr>
              <w:rFonts w:ascii="Times New Roman" w:hAnsi="Times New Roman" w:cs="Times New Roman"/>
              <w:color w:val="FFFFFF" w:themeColor="background1"/>
              <w:sz w:val="14"/>
              <w:szCs w:val="14"/>
            </w:rPr>
            <w:t xml:space="preserve">EUROPEAN GRANT PROJECTS </w:t>
          </w:r>
          <w:r w:rsidRPr="00CB0AC1">
            <w:rPr>
              <w:rFonts w:ascii="Times New Roman" w:hAnsi="Times New Roman" w:cs="Times New Roman"/>
              <w:color w:val="FFFFFF" w:themeColor="background1"/>
              <w:sz w:val="14"/>
              <w:szCs w:val="14"/>
              <w:lang w:val="en-US"/>
            </w:rPr>
            <w:t>| RESULTS | RESEARCH &amp; DEVELOPMENT | SCIENCE</w:t>
          </w:r>
        </w:p>
      </w:tc>
      <w:tc>
        <w:tcPr>
          <w:tcW w:w="4535" w:type="dxa"/>
          <w:tcMar>
            <w:left w:w="0" w:type="dxa"/>
            <w:right w:w="0" w:type="dxa"/>
          </w:tcMar>
        </w:tcPr>
        <w:p w:rsidR="00797714" w:rsidRPr="00CB0AC1" w:rsidRDefault="00797714" w:rsidP="007F0314">
          <w:pPr>
            <w:pStyle w:val="Zhlav"/>
            <w:spacing w:before="60" w:after="60"/>
            <w:rPr>
              <w:rFonts w:ascii="Arial" w:hAnsi="Arial" w:cs="Arial"/>
              <w:color w:val="FFFFFF" w:themeColor="background1"/>
              <w:sz w:val="16"/>
              <w:szCs w:val="16"/>
              <w:lang w:val="en-US"/>
            </w:rPr>
          </w:pPr>
        </w:p>
      </w:tc>
    </w:tr>
  </w:tbl>
  <w:p w:rsidR="00797714" w:rsidRDefault="00797714" w:rsidP="007977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F3B"/>
    <w:multiLevelType w:val="hybridMultilevel"/>
    <w:tmpl w:val="F0D007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1935F9"/>
    <w:multiLevelType w:val="hybridMultilevel"/>
    <w:tmpl w:val="A59CC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9C536F"/>
    <w:multiLevelType w:val="hybridMultilevel"/>
    <w:tmpl w:val="A7DE9A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8165D3"/>
    <w:multiLevelType w:val="hybridMultilevel"/>
    <w:tmpl w:val="A59CC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C50538"/>
    <w:multiLevelType w:val="hybridMultilevel"/>
    <w:tmpl w:val="C066B67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3C426D"/>
    <w:multiLevelType w:val="multilevel"/>
    <w:tmpl w:val="6A8A9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3DA804BC"/>
    <w:multiLevelType w:val="hybridMultilevel"/>
    <w:tmpl w:val="25F81BE0"/>
    <w:lvl w:ilvl="0" w:tplc="BD8E86C8">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CDA671B"/>
    <w:multiLevelType w:val="multilevel"/>
    <w:tmpl w:val="F4F60D54"/>
    <w:lvl w:ilvl="0">
      <w:start w:val="1"/>
      <w:numFmt w:val="decimal"/>
      <w:pStyle w:val="Nadpiskapitoly"/>
      <w:lvlText w:val="%1"/>
      <w:lvlJc w:val="left"/>
      <w:pPr>
        <w:tabs>
          <w:tab w:val="num" w:pos="3834"/>
        </w:tabs>
        <w:ind w:left="3834"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2AF2E23"/>
    <w:multiLevelType w:val="hybridMultilevel"/>
    <w:tmpl w:val="A59CC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5A95397"/>
    <w:multiLevelType w:val="multilevel"/>
    <w:tmpl w:val="6A8A9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7C7E4051"/>
    <w:multiLevelType w:val="hybridMultilevel"/>
    <w:tmpl w:val="F2DC78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3"/>
  </w:num>
  <w:num w:numId="3">
    <w:abstractNumId w:val="1"/>
  </w:num>
  <w:num w:numId="4">
    <w:abstractNumId w:val="8"/>
  </w:num>
  <w:num w:numId="5">
    <w:abstractNumId w:val="0"/>
  </w:num>
  <w:num w:numId="6">
    <w:abstractNumId w:val="9"/>
  </w:num>
  <w:num w:numId="7">
    <w:abstractNumId w:val="2"/>
  </w:num>
  <w:num w:numId="8">
    <w:abstractNumId w:val="5"/>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14"/>
    <w:rsid w:val="000463ED"/>
    <w:rsid w:val="00122F6B"/>
    <w:rsid w:val="001A13A4"/>
    <w:rsid w:val="0021593F"/>
    <w:rsid w:val="002244B5"/>
    <w:rsid w:val="00246EDF"/>
    <w:rsid w:val="00320C11"/>
    <w:rsid w:val="00390865"/>
    <w:rsid w:val="00403ACA"/>
    <w:rsid w:val="004A1742"/>
    <w:rsid w:val="00534D0E"/>
    <w:rsid w:val="00537284"/>
    <w:rsid w:val="005A1D8C"/>
    <w:rsid w:val="005B0E46"/>
    <w:rsid w:val="005F4E1C"/>
    <w:rsid w:val="00637DDC"/>
    <w:rsid w:val="006B3D0D"/>
    <w:rsid w:val="006D3799"/>
    <w:rsid w:val="00713AF3"/>
    <w:rsid w:val="007235EB"/>
    <w:rsid w:val="00797714"/>
    <w:rsid w:val="008F597B"/>
    <w:rsid w:val="00933AC3"/>
    <w:rsid w:val="00A05C6B"/>
    <w:rsid w:val="00B30BE4"/>
    <w:rsid w:val="00B760EA"/>
    <w:rsid w:val="00C85235"/>
    <w:rsid w:val="00CB7BD0"/>
    <w:rsid w:val="00D20866"/>
    <w:rsid w:val="00D52531"/>
    <w:rsid w:val="00E56798"/>
    <w:rsid w:val="00E90A93"/>
    <w:rsid w:val="00E93435"/>
    <w:rsid w:val="00F609B3"/>
    <w:rsid w:val="00FB43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977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7714"/>
  </w:style>
  <w:style w:type="paragraph" w:styleId="Zpat">
    <w:name w:val="footer"/>
    <w:basedOn w:val="Normln"/>
    <w:link w:val="ZpatChar"/>
    <w:uiPriority w:val="99"/>
    <w:unhideWhenUsed/>
    <w:rsid w:val="00797714"/>
    <w:pPr>
      <w:tabs>
        <w:tab w:val="center" w:pos="4536"/>
        <w:tab w:val="right" w:pos="9072"/>
      </w:tabs>
      <w:spacing w:after="0" w:line="240" w:lineRule="auto"/>
    </w:pPr>
  </w:style>
  <w:style w:type="character" w:customStyle="1" w:styleId="ZpatChar">
    <w:name w:val="Zápatí Char"/>
    <w:basedOn w:val="Standardnpsmoodstavce"/>
    <w:link w:val="Zpat"/>
    <w:uiPriority w:val="99"/>
    <w:rsid w:val="00797714"/>
  </w:style>
  <w:style w:type="paragraph" w:styleId="Textbubliny">
    <w:name w:val="Balloon Text"/>
    <w:basedOn w:val="Normln"/>
    <w:link w:val="TextbublinyChar"/>
    <w:uiPriority w:val="99"/>
    <w:semiHidden/>
    <w:unhideWhenUsed/>
    <w:rsid w:val="007977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714"/>
    <w:rPr>
      <w:rFonts w:ascii="Tahoma" w:hAnsi="Tahoma" w:cs="Tahoma"/>
      <w:sz w:val="16"/>
      <w:szCs w:val="16"/>
    </w:rPr>
  </w:style>
  <w:style w:type="table" w:styleId="Mkatabulky">
    <w:name w:val="Table Grid"/>
    <w:basedOn w:val="Normlntabulka"/>
    <w:uiPriority w:val="59"/>
    <w:rsid w:val="0079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797714"/>
    <w:pPr>
      <w:spacing w:after="190" w:line="190" w:lineRule="atLeast"/>
      <w:jc w:val="both"/>
    </w:pPr>
    <w:rPr>
      <w:rFonts w:ascii="Times New Roman" w:eastAsia="Times New Roman" w:hAnsi="Times New Roman" w:cs="Times New Roman"/>
      <w:sz w:val="15"/>
      <w:szCs w:val="15"/>
    </w:rPr>
  </w:style>
  <w:style w:type="paragraph" w:styleId="Odstavecseseznamem">
    <w:name w:val="List Paragraph"/>
    <w:basedOn w:val="Normln"/>
    <w:uiPriority w:val="34"/>
    <w:qFormat/>
    <w:rsid w:val="00797714"/>
    <w:pPr>
      <w:ind w:left="720"/>
      <w:contextualSpacing/>
    </w:pPr>
  </w:style>
  <w:style w:type="paragraph" w:styleId="Textpoznpodarou">
    <w:name w:val="footnote text"/>
    <w:basedOn w:val="Normln"/>
    <w:link w:val="TextpoznpodarouChar"/>
    <w:uiPriority w:val="99"/>
    <w:semiHidden/>
    <w:unhideWhenUsed/>
    <w:rsid w:val="0079771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97714"/>
    <w:rPr>
      <w:sz w:val="20"/>
      <w:szCs w:val="20"/>
    </w:rPr>
  </w:style>
  <w:style w:type="character" w:styleId="Znakapoznpodarou">
    <w:name w:val="footnote reference"/>
    <w:basedOn w:val="Standardnpsmoodstavce"/>
    <w:uiPriority w:val="99"/>
    <w:semiHidden/>
    <w:unhideWhenUsed/>
    <w:rsid w:val="00797714"/>
    <w:rPr>
      <w:vertAlign w:val="superscript"/>
    </w:rPr>
  </w:style>
  <w:style w:type="character" w:styleId="Hypertextovodkaz">
    <w:name w:val="Hyperlink"/>
    <w:basedOn w:val="Standardnpsmoodstavce"/>
    <w:uiPriority w:val="99"/>
    <w:semiHidden/>
    <w:unhideWhenUsed/>
    <w:rsid w:val="008F597B"/>
    <w:rPr>
      <w:color w:val="0000FF"/>
      <w:u w:val="single"/>
    </w:rPr>
  </w:style>
  <w:style w:type="paragraph" w:customStyle="1" w:styleId="Abstrakt-text">
    <w:name w:val="Abstrakt - text"/>
    <w:basedOn w:val="Normln"/>
    <w:next w:val="Normln"/>
    <w:link w:val="Abstrakt-textChar"/>
    <w:rsid w:val="004A1742"/>
    <w:pPr>
      <w:spacing w:before="120" w:after="0" w:line="240" w:lineRule="auto"/>
      <w:jc w:val="both"/>
    </w:pPr>
    <w:rPr>
      <w:rFonts w:ascii="Times New Roman" w:eastAsia="Times New Roman" w:hAnsi="Times New Roman" w:cs="Times New Roman"/>
      <w:sz w:val="24"/>
      <w:szCs w:val="26"/>
    </w:rPr>
  </w:style>
  <w:style w:type="character" w:customStyle="1" w:styleId="Abstrakt-textChar">
    <w:name w:val="Abstrakt - text Char"/>
    <w:basedOn w:val="Standardnpsmoodstavce"/>
    <w:link w:val="Abstrakt-text"/>
    <w:rsid w:val="004A1742"/>
    <w:rPr>
      <w:rFonts w:ascii="Times New Roman" w:eastAsia="Times New Roman" w:hAnsi="Times New Roman" w:cs="Times New Roman"/>
      <w:sz w:val="24"/>
      <w:szCs w:val="26"/>
      <w:lang w:eastAsia="cs-CZ"/>
    </w:rPr>
  </w:style>
  <w:style w:type="paragraph" w:customStyle="1" w:styleId="Text">
    <w:name w:val="Text"/>
    <w:basedOn w:val="Normln"/>
    <w:rsid w:val="004A1742"/>
    <w:pPr>
      <w:spacing w:before="120" w:after="0" w:line="240" w:lineRule="auto"/>
      <w:jc w:val="both"/>
    </w:pPr>
    <w:rPr>
      <w:rFonts w:ascii="Times New Roman" w:eastAsia="Times New Roman" w:hAnsi="Times New Roman" w:cs="Times New Roman"/>
      <w:sz w:val="24"/>
      <w:szCs w:val="24"/>
    </w:rPr>
  </w:style>
  <w:style w:type="paragraph" w:customStyle="1" w:styleId="Nadpiskapitoly">
    <w:name w:val="Nadpis kapitoly"/>
    <w:basedOn w:val="Normln"/>
    <w:next w:val="Text"/>
    <w:rsid w:val="004A1742"/>
    <w:pPr>
      <w:keepNext/>
      <w:numPr>
        <w:numId w:val="9"/>
      </w:numPr>
      <w:tabs>
        <w:tab w:val="clear" w:pos="3834"/>
        <w:tab w:val="num" w:pos="432"/>
      </w:tabs>
      <w:spacing w:before="360" w:after="0" w:line="240" w:lineRule="auto"/>
      <w:ind w:left="432"/>
      <w:outlineLvl w:val="0"/>
    </w:pPr>
    <w:rPr>
      <w:rFonts w:ascii="Times New Roman" w:eastAsia="Times New Roman" w:hAnsi="Times New Roman" w:cs="Times New Roman"/>
      <w:b/>
      <w:caps/>
      <w:sz w:val="28"/>
      <w:szCs w:val="28"/>
    </w:rPr>
  </w:style>
  <w:style w:type="paragraph" w:customStyle="1" w:styleId="Nadpispodkapitoly">
    <w:name w:val="Nadpis podkapitoly"/>
    <w:basedOn w:val="Normln"/>
    <w:next w:val="Text"/>
    <w:rsid w:val="004A1742"/>
    <w:pPr>
      <w:keepNext/>
      <w:numPr>
        <w:ilvl w:val="1"/>
        <w:numId w:val="9"/>
      </w:numPr>
      <w:spacing w:before="240" w:after="0" w:line="240" w:lineRule="auto"/>
      <w:outlineLvl w:val="1"/>
    </w:pPr>
    <w:rPr>
      <w:rFonts w:ascii="Times New Roman" w:eastAsia="Times New Roman" w:hAnsi="Times New Roman" w:cs="Times New Roman"/>
      <w:b/>
      <w:sz w:val="24"/>
      <w:szCs w:val="24"/>
    </w:rPr>
  </w:style>
  <w:style w:type="paragraph" w:styleId="Titulek">
    <w:name w:val="caption"/>
    <w:basedOn w:val="Normln"/>
    <w:next w:val="Normln"/>
    <w:uiPriority w:val="35"/>
    <w:unhideWhenUsed/>
    <w:qFormat/>
    <w:rsid w:val="0021593F"/>
    <w:pPr>
      <w:spacing w:line="240" w:lineRule="auto"/>
    </w:pPr>
    <w:rPr>
      <w:b/>
      <w:bCs/>
      <w:color w:val="4F81BD" w:themeColor="accent1"/>
      <w:sz w:val="18"/>
      <w:szCs w:val="18"/>
    </w:rPr>
  </w:style>
  <w:style w:type="paragraph" w:customStyle="1" w:styleId="Seznamliteratury">
    <w:name w:val="Seznam literatury"/>
    <w:basedOn w:val="Normln"/>
    <w:rsid w:val="00713AF3"/>
    <w:pPr>
      <w:numPr>
        <w:numId w:val="11"/>
      </w:num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977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7714"/>
  </w:style>
  <w:style w:type="paragraph" w:styleId="Zpat">
    <w:name w:val="footer"/>
    <w:basedOn w:val="Normln"/>
    <w:link w:val="ZpatChar"/>
    <w:uiPriority w:val="99"/>
    <w:unhideWhenUsed/>
    <w:rsid w:val="00797714"/>
    <w:pPr>
      <w:tabs>
        <w:tab w:val="center" w:pos="4536"/>
        <w:tab w:val="right" w:pos="9072"/>
      </w:tabs>
      <w:spacing w:after="0" w:line="240" w:lineRule="auto"/>
    </w:pPr>
  </w:style>
  <w:style w:type="character" w:customStyle="1" w:styleId="ZpatChar">
    <w:name w:val="Zápatí Char"/>
    <w:basedOn w:val="Standardnpsmoodstavce"/>
    <w:link w:val="Zpat"/>
    <w:uiPriority w:val="99"/>
    <w:rsid w:val="00797714"/>
  </w:style>
  <w:style w:type="paragraph" w:styleId="Textbubliny">
    <w:name w:val="Balloon Text"/>
    <w:basedOn w:val="Normln"/>
    <w:link w:val="TextbublinyChar"/>
    <w:uiPriority w:val="99"/>
    <w:semiHidden/>
    <w:unhideWhenUsed/>
    <w:rsid w:val="007977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714"/>
    <w:rPr>
      <w:rFonts w:ascii="Tahoma" w:hAnsi="Tahoma" w:cs="Tahoma"/>
      <w:sz w:val="16"/>
      <w:szCs w:val="16"/>
    </w:rPr>
  </w:style>
  <w:style w:type="table" w:styleId="Mkatabulky">
    <w:name w:val="Table Grid"/>
    <w:basedOn w:val="Normlntabulka"/>
    <w:uiPriority w:val="59"/>
    <w:rsid w:val="0079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797714"/>
    <w:pPr>
      <w:spacing w:after="190" w:line="190" w:lineRule="atLeast"/>
      <w:jc w:val="both"/>
    </w:pPr>
    <w:rPr>
      <w:rFonts w:ascii="Times New Roman" w:eastAsia="Times New Roman" w:hAnsi="Times New Roman" w:cs="Times New Roman"/>
      <w:sz w:val="15"/>
      <w:szCs w:val="15"/>
    </w:rPr>
  </w:style>
  <w:style w:type="paragraph" w:styleId="Odstavecseseznamem">
    <w:name w:val="List Paragraph"/>
    <w:basedOn w:val="Normln"/>
    <w:uiPriority w:val="34"/>
    <w:qFormat/>
    <w:rsid w:val="00797714"/>
    <w:pPr>
      <w:ind w:left="720"/>
      <w:contextualSpacing/>
    </w:pPr>
  </w:style>
  <w:style w:type="paragraph" w:styleId="Textpoznpodarou">
    <w:name w:val="footnote text"/>
    <w:basedOn w:val="Normln"/>
    <w:link w:val="TextpoznpodarouChar"/>
    <w:uiPriority w:val="99"/>
    <w:semiHidden/>
    <w:unhideWhenUsed/>
    <w:rsid w:val="0079771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97714"/>
    <w:rPr>
      <w:sz w:val="20"/>
      <w:szCs w:val="20"/>
    </w:rPr>
  </w:style>
  <w:style w:type="character" w:styleId="Znakapoznpodarou">
    <w:name w:val="footnote reference"/>
    <w:basedOn w:val="Standardnpsmoodstavce"/>
    <w:uiPriority w:val="99"/>
    <w:semiHidden/>
    <w:unhideWhenUsed/>
    <w:rsid w:val="00797714"/>
    <w:rPr>
      <w:vertAlign w:val="superscript"/>
    </w:rPr>
  </w:style>
  <w:style w:type="character" w:styleId="Hypertextovodkaz">
    <w:name w:val="Hyperlink"/>
    <w:basedOn w:val="Standardnpsmoodstavce"/>
    <w:uiPriority w:val="99"/>
    <w:semiHidden/>
    <w:unhideWhenUsed/>
    <w:rsid w:val="008F597B"/>
    <w:rPr>
      <w:color w:val="0000FF"/>
      <w:u w:val="single"/>
    </w:rPr>
  </w:style>
  <w:style w:type="paragraph" w:customStyle="1" w:styleId="Abstrakt-text">
    <w:name w:val="Abstrakt - text"/>
    <w:basedOn w:val="Normln"/>
    <w:next w:val="Normln"/>
    <w:link w:val="Abstrakt-textChar"/>
    <w:rsid w:val="004A1742"/>
    <w:pPr>
      <w:spacing w:before="120" w:after="0" w:line="240" w:lineRule="auto"/>
      <w:jc w:val="both"/>
    </w:pPr>
    <w:rPr>
      <w:rFonts w:ascii="Times New Roman" w:eastAsia="Times New Roman" w:hAnsi="Times New Roman" w:cs="Times New Roman"/>
      <w:sz w:val="24"/>
      <w:szCs w:val="26"/>
    </w:rPr>
  </w:style>
  <w:style w:type="character" w:customStyle="1" w:styleId="Abstrakt-textChar">
    <w:name w:val="Abstrakt - text Char"/>
    <w:basedOn w:val="Standardnpsmoodstavce"/>
    <w:link w:val="Abstrakt-text"/>
    <w:rsid w:val="004A1742"/>
    <w:rPr>
      <w:rFonts w:ascii="Times New Roman" w:eastAsia="Times New Roman" w:hAnsi="Times New Roman" w:cs="Times New Roman"/>
      <w:sz w:val="24"/>
      <w:szCs w:val="26"/>
      <w:lang w:eastAsia="cs-CZ"/>
    </w:rPr>
  </w:style>
  <w:style w:type="paragraph" w:customStyle="1" w:styleId="Text">
    <w:name w:val="Text"/>
    <w:basedOn w:val="Normln"/>
    <w:rsid w:val="004A1742"/>
    <w:pPr>
      <w:spacing w:before="120" w:after="0" w:line="240" w:lineRule="auto"/>
      <w:jc w:val="both"/>
    </w:pPr>
    <w:rPr>
      <w:rFonts w:ascii="Times New Roman" w:eastAsia="Times New Roman" w:hAnsi="Times New Roman" w:cs="Times New Roman"/>
      <w:sz w:val="24"/>
      <w:szCs w:val="24"/>
    </w:rPr>
  </w:style>
  <w:style w:type="paragraph" w:customStyle="1" w:styleId="Nadpiskapitoly">
    <w:name w:val="Nadpis kapitoly"/>
    <w:basedOn w:val="Normln"/>
    <w:next w:val="Text"/>
    <w:rsid w:val="004A1742"/>
    <w:pPr>
      <w:keepNext/>
      <w:numPr>
        <w:numId w:val="9"/>
      </w:numPr>
      <w:tabs>
        <w:tab w:val="clear" w:pos="3834"/>
        <w:tab w:val="num" w:pos="432"/>
      </w:tabs>
      <w:spacing w:before="360" w:after="0" w:line="240" w:lineRule="auto"/>
      <w:ind w:left="432"/>
      <w:outlineLvl w:val="0"/>
    </w:pPr>
    <w:rPr>
      <w:rFonts w:ascii="Times New Roman" w:eastAsia="Times New Roman" w:hAnsi="Times New Roman" w:cs="Times New Roman"/>
      <w:b/>
      <w:caps/>
      <w:sz w:val="28"/>
      <w:szCs w:val="28"/>
    </w:rPr>
  </w:style>
  <w:style w:type="paragraph" w:customStyle="1" w:styleId="Nadpispodkapitoly">
    <w:name w:val="Nadpis podkapitoly"/>
    <w:basedOn w:val="Normln"/>
    <w:next w:val="Text"/>
    <w:rsid w:val="004A1742"/>
    <w:pPr>
      <w:keepNext/>
      <w:numPr>
        <w:ilvl w:val="1"/>
        <w:numId w:val="9"/>
      </w:numPr>
      <w:spacing w:before="240" w:after="0" w:line="240" w:lineRule="auto"/>
      <w:outlineLvl w:val="1"/>
    </w:pPr>
    <w:rPr>
      <w:rFonts w:ascii="Times New Roman" w:eastAsia="Times New Roman" w:hAnsi="Times New Roman" w:cs="Times New Roman"/>
      <w:b/>
      <w:sz w:val="24"/>
      <w:szCs w:val="24"/>
    </w:rPr>
  </w:style>
  <w:style w:type="paragraph" w:styleId="Titulek">
    <w:name w:val="caption"/>
    <w:basedOn w:val="Normln"/>
    <w:next w:val="Normln"/>
    <w:uiPriority w:val="35"/>
    <w:unhideWhenUsed/>
    <w:qFormat/>
    <w:rsid w:val="0021593F"/>
    <w:pPr>
      <w:spacing w:line="240" w:lineRule="auto"/>
    </w:pPr>
    <w:rPr>
      <w:b/>
      <w:bCs/>
      <w:color w:val="4F81BD" w:themeColor="accent1"/>
      <w:sz w:val="18"/>
      <w:szCs w:val="18"/>
    </w:rPr>
  </w:style>
  <w:style w:type="paragraph" w:customStyle="1" w:styleId="Seznamliteratury">
    <w:name w:val="Seznam literatury"/>
    <w:basedOn w:val="Normln"/>
    <w:rsid w:val="00713AF3"/>
    <w:pPr>
      <w:numPr>
        <w:numId w:val="11"/>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1367">
      <w:bodyDiv w:val="1"/>
      <w:marLeft w:val="0"/>
      <w:marRight w:val="0"/>
      <w:marTop w:val="0"/>
      <w:marBottom w:val="0"/>
      <w:divBdr>
        <w:top w:val="none" w:sz="0" w:space="0" w:color="auto"/>
        <w:left w:val="none" w:sz="0" w:space="0" w:color="auto"/>
        <w:bottom w:val="none" w:sz="0" w:space="0" w:color="auto"/>
        <w:right w:val="none" w:sz="0" w:space="0" w:color="auto"/>
      </w:divBdr>
      <w:divsChild>
        <w:div w:id="201132064">
          <w:marLeft w:val="0"/>
          <w:marRight w:val="0"/>
          <w:marTop w:val="0"/>
          <w:marBottom w:val="0"/>
          <w:divBdr>
            <w:top w:val="none" w:sz="0" w:space="0" w:color="auto"/>
            <w:left w:val="none" w:sz="0" w:space="0" w:color="auto"/>
            <w:bottom w:val="none" w:sz="0" w:space="0" w:color="auto"/>
            <w:right w:val="none" w:sz="0" w:space="0" w:color="auto"/>
          </w:divBdr>
          <w:divsChild>
            <w:div w:id="6759320">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zechtop100.cz/zebricky-firem/nejvyznamnejsi-firmy/100-nejvyznmanejsich-firem-cr.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ek.zcu.cz/projekt.php?id=532"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avid\makro\Kopie%20-%2001-top-100-dle-trzeb-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42419047330079"/>
          <c:y val="7.5741339697976848E-2"/>
          <c:w val="0.63568178255174801"/>
          <c:h val="0.75734023332069411"/>
        </c:manualLayout>
      </c:layout>
      <c:lineChart>
        <c:grouping val="standard"/>
        <c:varyColors val="0"/>
        <c:ser>
          <c:idx val="0"/>
          <c:order val="0"/>
          <c:tx>
            <c:v>Počet firem a jejich podíl na HDP ČR v roce 2015</c:v>
          </c:tx>
          <c:marker>
            <c:symbol val="none"/>
          </c:marker>
          <c:val>
            <c:numRef>
              <c:f>Tržby!$F$2:$F$101</c:f>
              <c:numCache>
                <c:formatCode>0%</c:formatCode>
                <c:ptCount val="100"/>
                <c:pt idx="0">
                  <c:v>3.4227934782608695E-2</c:v>
                </c:pt>
                <c:pt idx="1">
                  <c:v>5.7072173913043499E-2</c:v>
                </c:pt>
                <c:pt idx="2">
                  <c:v>7.523888054347827E-2</c:v>
                </c:pt>
                <c:pt idx="3">
                  <c:v>9.0674391304347846E-2</c:v>
                </c:pt>
                <c:pt idx="4">
                  <c:v>0.10446832782608696</c:v>
                </c:pt>
                <c:pt idx="5">
                  <c:v>0.11802491836956519</c:v>
                </c:pt>
                <c:pt idx="6">
                  <c:v>0.12986263576086959</c:v>
                </c:pt>
                <c:pt idx="7">
                  <c:v>0.13512350532608694</c:v>
                </c:pt>
                <c:pt idx="8">
                  <c:v>0.14037350532608694</c:v>
                </c:pt>
                <c:pt idx="9">
                  <c:v>0.14448597500000004</c:v>
                </c:pt>
                <c:pt idx="10">
                  <c:v>0.14859434456521747</c:v>
                </c:pt>
                <c:pt idx="11">
                  <c:v>0.15224698173913051</c:v>
                </c:pt>
                <c:pt idx="12">
                  <c:v>0.15568471445652179</c:v>
                </c:pt>
                <c:pt idx="13">
                  <c:v>0.15908137967391306</c:v>
                </c:pt>
                <c:pt idx="14">
                  <c:v>0.16233974847826091</c:v>
                </c:pt>
                <c:pt idx="15">
                  <c:v>0.16541566923913045</c:v>
                </c:pt>
                <c:pt idx="16">
                  <c:v>0.16847645228260871</c:v>
                </c:pt>
                <c:pt idx="17">
                  <c:v>0.17123891956521745</c:v>
                </c:pt>
                <c:pt idx="18">
                  <c:v>0.17386280108695654</c:v>
                </c:pt>
                <c:pt idx="19">
                  <c:v>0.17647239315217397</c:v>
                </c:pt>
                <c:pt idx="20">
                  <c:v>0.17901946913043484</c:v>
                </c:pt>
                <c:pt idx="21">
                  <c:v>0.18131110978260873</c:v>
                </c:pt>
                <c:pt idx="22">
                  <c:v>0.18349476826086961</c:v>
                </c:pt>
                <c:pt idx="23">
                  <c:v>0.18562163445652174</c:v>
                </c:pt>
                <c:pt idx="24">
                  <c:v>0.18770049847826095</c:v>
                </c:pt>
                <c:pt idx="25">
                  <c:v>0.18971463271739139</c:v>
                </c:pt>
                <c:pt idx="26">
                  <c:v>0.19172753630434783</c:v>
                </c:pt>
                <c:pt idx="27">
                  <c:v>0.1937371015217392</c:v>
                </c:pt>
                <c:pt idx="28">
                  <c:v>0.19560613913043481</c:v>
                </c:pt>
                <c:pt idx="29">
                  <c:v>0.19747197336956521</c:v>
                </c:pt>
                <c:pt idx="30">
                  <c:v>0.19933558108695654</c:v>
                </c:pt>
                <c:pt idx="31">
                  <c:v>0.20118896815217394</c:v>
                </c:pt>
                <c:pt idx="32">
                  <c:v>0.20298991086956528</c:v>
                </c:pt>
                <c:pt idx="33">
                  <c:v>0.20472375760869568</c:v>
                </c:pt>
                <c:pt idx="34">
                  <c:v>0.20641400119565223</c:v>
                </c:pt>
                <c:pt idx="35">
                  <c:v>0.20806858336956524</c:v>
                </c:pt>
                <c:pt idx="36">
                  <c:v>0.20959032250000006</c:v>
                </c:pt>
                <c:pt idx="37">
                  <c:v>0.2110350342391305</c:v>
                </c:pt>
                <c:pt idx="38">
                  <c:v>0.2124744271739131</c:v>
                </c:pt>
                <c:pt idx="39">
                  <c:v>0.21385866630434786</c:v>
                </c:pt>
                <c:pt idx="40">
                  <c:v>0.21521580456521744</c:v>
                </c:pt>
                <c:pt idx="41">
                  <c:v>0.21655515239130443</c:v>
                </c:pt>
                <c:pt idx="42">
                  <c:v>0.21787447282608699</c:v>
                </c:pt>
                <c:pt idx="43">
                  <c:v>0.2191623802173914</c:v>
                </c:pt>
                <c:pt idx="44">
                  <c:v>0.22043283086956528</c:v>
                </c:pt>
                <c:pt idx="45">
                  <c:v>0.22169250478260871</c:v>
                </c:pt>
                <c:pt idx="46">
                  <c:v>0.22294503054347836</c:v>
                </c:pt>
                <c:pt idx="47">
                  <c:v>0.2241936515217392</c:v>
                </c:pt>
                <c:pt idx="48">
                  <c:v>0.22537471206521742</c:v>
                </c:pt>
                <c:pt idx="49">
                  <c:v>0.22655514315217401</c:v>
                </c:pt>
                <c:pt idx="50">
                  <c:v>0.22771033717391317</c:v>
                </c:pt>
                <c:pt idx="51">
                  <c:v>0.22882760956521747</c:v>
                </c:pt>
                <c:pt idx="52">
                  <c:v>0.22986399489130446</c:v>
                </c:pt>
                <c:pt idx="53">
                  <c:v>0.23089792293478267</c:v>
                </c:pt>
                <c:pt idx="54">
                  <c:v>0.23187162500000005</c:v>
                </c:pt>
                <c:pt idx="55">
                  <c:v>0.23277673978260879</c:v>
                </c:pt>
                <c:pt idx="56">
                  <c:v>0.23366681282608703</c:v>
                </c:pt>
                <c:pt idx="57">
                  <c:v>0.23454634130434793</c:v>
                </c:pt>
                <c:pt idx="58">
                  <c:v>0.23541470739130446</c:v>
                </c:pt>
                <c:pt idx="59">
                  <c:v>0.23627707967391312</c:v>
                </c:pt>
                <c:pt idx="60">
                  <c:v>0.23712501445652184</c:v>
                </c:pt>
                <c:pt idx="61">
                  <c:v>0.23791945445652191</c:v>
                </c:pt>
                <c:pt idx="62">
                  <c:v>0.23867225271739143</c:v>
                </c:pt>
                <c:pt idx="63">
                  <c:v>0.23937877445652184</c:v>
                </c:pt>
                <c:pt idx="64">
                  <c:v>0.24007764065217405</c:v>
                </c:pt>
                <c:pt idx="65">
                  <c:v>0.24074317467391318</c:v>
                </c:pt>
                <c:pt idx="66">
                  <c:v>0.24137982739130445</c:v>
                </c:pt>
                <c:pt idx="67">
                  <c:v>0.24199757206521749</c:v>
                </c:pt>
                <c:pt idx="68">
                  <c:v>0.24261486793478268</c:v>
                </c:pt>
                <c:pt idx="69">
                  <c:v>0.24320182445652186</c:v>
                </c:pt>
                <c:pt idx="70">
                  <c:v>0.24378161130434792</c:v>
                </c:pt>
                <c:pt idx="71">
                  <c:v>0.24435258913043492</c:v>
                </c:pt>
                <c:pt idx="72">
                  <c:v>0.24492351413043492</c:v>
                </c:pt>
                <c:pt idx="73">
                  <c:v>0.24548591793478269</c:v>
                </c:pt>
                <c:pt idx="74">
                  <c:v>0.2460156564130436</c:v>
                </c:pt>
                <c:pt idx="75">
                  <c:v>0.24654147380434793</c:v>
                </c:pt>
                <c:pt idx="76">
                  <c:v>0.24706155858695664</c:v>
                </c:pt>
                <c:pt idx="77">
                  <c:v>0.24758000641304356</c:v>
                </c:pt>
                <c:pt idx="78">
                  <c:v>0.24806837434782622</c:v>
                </c:pt>
                <c:pt idx="79">
                  <c:v>0.24855426086956534</c:v>
                </c:pt>
                <c:pt idx="80">
                  <c:v>0.24900862282608704</c:v>
                </c:pt>
                <c:pt idx="81">
                  <c:v>0.24944396597826099</c:v>
                </c:pt>
                <c:pt idx="82">
                  <c:v>0.24987726706521748</c:v>
                </c:pt>
                <c:pt idx="83">
                  <c:v>0.25029088989130444</c:v>
                </c:pt>
                <c:pt idx="84">
                  <c:v>0.25067547054347833</c:v>
                </c:pt>
                <c:pt idx="85">
                  <c:v>0.25105689021739136</c:v>
                </c:pt>
                <c:pt idx="86">
                  <c:v>0.25141931934782624</c:v>
                </c:pt>
                <c:pt idx="87">
                  <c:v>0.25178106793478272</c:v>
                </c:pt>
                <c:pt idx="88">
                  <c:v>0.25211742413043481</c:v>
                </c:pt>
                <c:pt idx="89">
                  <c:v>0.25244575836956534</c:v>
                </c:pt>
                <c:pt idx="90">
                  <c:v>0.25277168717391318</c:v>
                </c:pt>
                <c:pt idx="91">
                  <c:v>0.25308985630434799</c:v>
                </c:pt>
                <c:pt idx="92">
                  <c:v>0.25340790369565236</c:v>
                </c:pt>
                <c:pt idx="93">
                  <c:v>0.25370945869565226</c:v>
                </c:pt>
                <c:pt idx="94">
                  <c:v>0.25400220065217405</c:v>
                </c:pt>
                <c:pt idx="95">
                  <c:v>0.25428757065217406</c:v>
                </c:pt>
                <c:pt idx="96">
                  <c:v>0.25456443739130447</c:v>
                </c:pt>
                <c:pt idx="97">
                  <c:v>0.25483402423913054</c:v>
                </c:pt>
                <c:pt idx="98">
                  <c:v>0.25510262695652181</c:v>
                </c:pt>
                <c:pt idx="99">
                  <c:v>0.25536003152173925</c:v>
                </c:pt>
              </c:numCache>
            </c:numRef>
          </c:val>
          <c:smooth val="0"/>
        </c:ser>
        <c:dLbls>
          <c:showLegendKey val="0"/>
          <c:showVal val="0"/>
          <c:showCatName val="0"/>
          <c:showSerName val="0"/>
          <c:showPercent val="0"/>
          <c:showBubbleSize val="0"/>
        </c:dLbls>
        <c:hiLowLines/>
        <c:marker val="1"/>
        <c:smooth val="0"/>
        <c:axId val="99697408"/>
        <c:axId val="99699328"/>
      </c:lineChart>
      <c:catAx>
        <c:axId val="99697408"/>
        <c:scaling>
          <c:orientation val="minMax"/>
        </c:scaling>
        <c:delete val="0"/>
        <c:axPos val="b"/>
        <c:title>
          <c:tx>
            <c:rich>
              <a:bodyPr/>
              <a:lstStyle/>
              <a:p>
                <a:pPr>
                  <a:defRPr/>
                </a:pPr>
                <a:r>
                  <a:rPr lang="cs-CZ"/>
                  <a:t>Počet největších firem dle obratu</a:t>
                </a:r>
              </a:p>
            </c:rich>
          </c:tx>
          <c:overlay val="0"/>
        </c:title>
        <c:numFmt formatCode="General" sourceLinked="1"/>
        <c:majorTickMark val="none"/>
        <c:minorTickMark val="none"/>
        <c:tickLblPos val="nextTo"/>
        <c:crossAx val="99699328"/>
        <c:crosses val="autoZero"/>
        <c:auto val="1"/>
        <c:lblAlgn val="ctr"/>
        <c:lblOffset val="100"/>
        <c:noMultiLvlLbl val="0"/>
      </c:catAx>
      <c:valAx>
        <c:axId val="99699328"/>
        <c:scaling>
          <c:orientation val="minMax"/>
        </c:scaling>
        <c:delete val="0"/>
        <c:axPos val="l"/>
        <c:majorGridlines/>
        <c:title>
          <c:tx>
            <c:rich>
              <a:bodyPr/>
              <a:lstStyle/>
              <a:p>
                <a:pPr>
                  <a:defRPr/>
                </a:pPr>
                <a:r>
                  <a:rPr lang="cs-CZ"/>
                  <a:t>Podíl k tržní produkci</a:t>
                </a:r>
              </a:p>
            </c:rich>
          </c:tx>
          <c:overlay val="0"/>
        </c:title>
        <c:numFmt formatCode="0%" sourceLinked="1"/>
        <c:majorTickMark val="out"/>
        <c:minorTickMark val="none"/>
        <c:tickLblPos val="nextTo"/>
        <c:crossAx val="99697408"/>
        <c:crosses val="autoZero"/>
        <c:crossBetween val="between"/>
      </c:valAx>
    </c:plotArea>
    <c:legend>
      <c:legendPos val="r"/>
      <c:layout>
        <c:manualLayout>
          <c:xMode val="edge"/>
          <c:yMode val="edge"/>
          <c:x val="0.78441853422168351"/>
          <c:y val="0.50527155259438794"/>
          <c:w val="0.16490679049734192"/>
          <c:h val="0.2813143549364024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5953F7-A89B-4199-BA27-320DB840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2206</Words>
  <Characters>13022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Jiri Kralik</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Journal</dc:creator>
  <cp:lastModifiedBy>PhDr. Čestmír JARÝ</cp:lastModifiedBy>
  <cp:revision>2</cp:revision>
  <dcterms:created xsi:type="dcterms:W3CDTF">2020-07-02T14:46:00Z</dcterms:created>
  <dcterms:modified xsi:type="dcterms:W3CDTF">2020-07-02T14:46:00Z</dcterms:modified>
</cp:coreProperties>
</file>