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F669" w14:textId="77777777"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2C28ECA4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390B28E5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7C2CA072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57142BA6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14:paraId="3BDB716C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14:paraId="6C9B0836" w14:textId="67E310A2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44165B">
        <w:rPr>
          <w:rFonts w:ascii="Calibri" w:hAnsi="Calibri"/>
          <w:bCs/>
          <w:sz w:val="24"/>
          <w:szCs w:val="24"/>
        </w:rPr>
        <w:t xml:space="preserve">Bc. Jiří </w:t>
      </w:r>
      <w:proofErr w:type="spellStart"/>
      <w:r w:rsidR="0044165B">
        <w:rPr>
          <w:rFonts w:ascii="Calibri" w:hAnsi="Calibri"/>
          <w:bCs/>
          <w:sz w:val="24"/>
          <w:szCs w:val="24"/>
        </w:rPr>
        <w:t>Šizling</w:t>
      </w:r>
      <w:proofErr w:type="spellEnd"/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1296E081" w14:textId="2CB915E8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4165B">
        <w:rPr>
          <w:rFonts w:ascii="Calibri" w:hAnsi="Calibri"/>
          <w:sz w:val="24"/>
          <w:szCs w:val="24"/>
        </w:rPr>
        <w:t>Synergie energetické struktury v </w:t>
      </w:r>
      <w:proofErr w:type="spellStart"/>
      <w:r w:rsidR="0044165B">
        <w:rPr>
          <w:rFonts w:ascii="Calibri" w:hAnsi="Calibri"/>
          <w:sz w:val="24"/>
          <w:szCs w:val="24"/>
        </w:rPr>
        <w:t>Industry</w:t>
      </w:r>
      <w:proofErr w:type="spellEnd"/>
      <w:r w:rsidR="0044165B">
        <w:rPr>
          <w:rFonts w:ascii="Calibri" w:hAnsi="Calibri"/>
          <w:sz w:val="24"/>
          <w:szCs w:val="24"/>
        </w:rPr>
        <w:t xml:space="preserve"> 4.0</w:t>
      </w:r>
    </w:p>
    <w:p w14:paraId="412F6318" w14:textId="7243D0C4"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44165B">
        <w:rPr>
          <w:rFonts w:ascii="Calibri" w:hAnsi="Calibri"/>
          <w:sz w:val="24"/>
          <w:szCs w:val="24"/>
        </w:rPr>
        <w:t>doc. Ing. Petr Hořejší, Ph.D.</w:t>
      </w:r>
    </w:p>
    <w:p w14:paraId="51F96C54" w14:textId="77777777"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14:paraId="68BDBFD5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14:paraId="3D0B2619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54F1B" w14:textId="77777777"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89AE4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520ED132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15DED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D4CEC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CF572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0C59E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A28DF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3DABB27E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515E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54A53B2" w14:textId="39BFCDAB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F79B79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B860E1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0D6DB6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760CC90B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B6ED3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90799C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3A41EC6" w14:textId="13773484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A3D487A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C125326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7CCCFEA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9AEF1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094ECF" w14:textId="5F782180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4212D52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7D47FA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E30F8F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2554C577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0FADB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8B47BE6" w14:textId="7E05B078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F02064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BB90A2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4C71A9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3B4F4479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8243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F017452" w14:textId="0377A9E6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D845A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4F60085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C7EE62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049921EF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2B08B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13BB57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AAE52F4" w14:textId="22B2FB6F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CB12C9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40951E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61DE4971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774B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6054E5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49C6DB4" w14:textId="7A32B102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0295F0B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E2FFBD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73FC7C17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44D11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D56EC" w14:textId="6169C651" w:rsidR="007E43BD" w:rsidRPr="0044165B" w:rsidRDefault="0044165B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98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 vlastní loňskou prací (5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% 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ostatními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38316ED3" w14:textId="77777777"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14:paraId="5B7560DA" w14:textId="77777777"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14:paraId="411180FC" w14:textId="77777777"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14:paraId="578E0BB4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14:paraId="330F1869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3CF27" w14:textId="35D12510" w:rsidR="009777FE" w:rsidRPr="0044165B" w:rsidRDefault="0044165B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 se o práci, která je </w:t>
            </w:r>
            <w:r w:rsidR="00C2699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pracováním loňské práce. Jedná se o téma, které je v rámci kontextu světových vědeckých publikací téměř neřešené. Student se opírá o své bohaté pracovní zkušenosti. Letošní verze se oproti loňské odlišuje zejména v rámci popsané case study, která ukazuje využitelnost navrženého modelu. Dále byly opraveny veškeré vytýkané chyb</w:t>
            </w:r>
            <w:r w:rsidR="007E713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(vzorce, jednotky, zavádějící užití termínů). Ač je formální úroveň práce spíše na úrovni velmi dobrá (student má lepší ústní projev nežli písemný), chci zhodnotit a vyzdvihnout houževnatost, píli a iniciativu studenta</w:t>
            </w:r>
            <w:r w:rsidR="00A217E6">
              <w:rPr>
                <w:rFonts w:asciiTheme="minorHAnsi" w:hAnsiTheme="minorHAnsi" w:cstheme="minorHAnsi"/>
                <w:sz w:val="22"/>
                <w:szCs w:val="22"/>
              </w:rPr>
              <w:t>, proto navrhuji klasifikaci výborně.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52836C1" w14:textId="195A6EC1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44165B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52C9764F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15CC99A1" w14:textId="69BA7ECE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50BA2">
            <w:rPr>
              <w:rFonts w:ascii="Calibri" w:hAnsi="Calibri"/>
              <w:sz w:val="22"/>
              <w:szCs w:val="22"/>
            </w:rPr>
            <w:t>3. června 2021</w:t>
          </w:r>
        </w:sdtContent>
      </w:sdt>
    </w:p>
    <w:p w14:paraId="652E82AA" w14:textId="77777777"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4457910B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6E64324D" w14:textId="77777777"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14:paraId="14EAB5FA" w14:textId="77777777"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4A1F" w14:textId="77777777" w:rsidR="003C67D7" w:rsidRDefault="003C67D7">
      <w:r>
        <w:separator/>
      </w:r>
    </w:p>
  </w:endnote>
  <w:endnote w:type="continuationSeparator" w:id="0">
    <w:p w14:paraId="01208B49" w14:textId="77777777" w:rsidR="003C67D7" w:rsidRDefault="003C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5D79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12FCDD73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09C84D3D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1329" w14:textId="77777777" w:rsidR="003C67D7" w:rsidRDefault="003C67D7">
      <w:r>
        <w:separator/>
      </w:r>
    </w:p>
  </w:footnote>
  <w:footnote w:type="continuationSeparator" w:id="0">
    <w:p w14:paraId="1E44BC13" w14:textId="77777777" w:rsidR="003C67D7" w:rsidRDefault="003C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17DC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13D5A4" wp14:editId="2BF7F216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C67D7"/>
    <w:rsid w:val="003D0502"/>
    <w:rsid w:val="003D4B4B"/>
    <w:rsid w:val="003E37BD"/>
    <w:rsid w:val="003E506D"/>
    <w:rsid w:val="003F36AE"/>
    <w:rsid w:val="004257F6"/>
    <w:rsid w:val="00426312"/>
    <w:rsid w:val="00433231"/>
    <w:rsid w:val="0044165B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716BE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0BA2"/>
    <w:rsid w:val="00757A13"/>
    <w:rsid w:val="00771363"/>
    <w:rsid w:val="0078662A"/>
    <w:rsid w:val="00797CC5"/>
    <w:rsid w:val="007D20DD"/>
    <w:rsid w:val="007E43BD"/>
    <w:rsid w:val="007E4FAD"/>
    <w:rsid w:val="007E713A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17E6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6994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9727B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F61B6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323D98"/>
    <w:rsid w:val="005F18B5"/>
    <w:rsid w:val="00674533"/>
    <w:rsid w:val="006B035D"/>
    <w:rsid w:val="00731727"/>
    <w:rsid w:val="00752F3C"/>
    <w:rsid w:val="008B1566"/>
    <w:rsid w:val="008D5EEB"/>
    <w:rsid w:val="00A82788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2021-06-03T13:17:00Z</cp:lastPrinted>
  <dcterms:created xsi:type="dcterms:W3CDTF">2021-06-04T04:09:00Z</dcterms:created>
  <dcterms:modified xsi:type="dcterms:W3CDTF">2021-06-04T04:09:00Z</dcterms:modified>
</cp:coreProperties>
</file>