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4FC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14:paraId="12FE371E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14:paraId="3D953F22" w14:textId="77777777"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14:paraId="21A3CEE6" w14:textId="77777777" w:rsidR="00425ED8" w:rsidRPr="00425ED8" w:rsidRDefault="00425ED8" w:rsidP="00425ED8">
      <w:pPr>
        <w:rPr>
          <w:rFonts w:eastAsia="Times New Roman" w:cs="Times New Roman"/>
        </w:rPr>
      </w:pPr>
    </w:p>
    <w:p w14:paraId="24451557" w14:textId="77777777"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B6134F">
        <w:rPr>
          <w:rFonts w:eastAsia="Times New Roman" w:cs="Times New Roman"/>
          <w:b/>
          <w:sz w:val="28"/>
          <w:szCs w:val="28"/>
        </w:rPr>
        <w:t xml:space="preserve">vedoucího </w:t>
      </w:r>
      <w:r w:rsidRPr="00425ED8">
        <w:rPr>
          <w:rFonts w:eastAsia="Times New Roman" w:cs="Times New Roman"/>
          <w:b/>
          <w:sz w:val="28"/>
          <w:szCs w:val="28"/>
        </w:rPr>
        <w:t>diplomové práce</w:t>
      </w:r>
    </w:p>
    <w:p w14:paraId="09505E89" w14:textId="77777777"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14:paraId="6B475C86" w14:textId="6ABBD6C9"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bookmarkStart w:id="0" w:name="_Hlk41402188"/>
      <w:r w:rsidR="00FB4E04">
        <w:rPr>
          <w:rFonts w:eastAsia="Times New Roman" w:cs="Times New Roman"/>
          <w:b/>
        </w:rPr>
        <w:t>Principy vyvlastňovacího řízení ve světle judikatury</w:t>
      </w:r>
    </w:p>
    <w:bookmarkEnd w:id="0"/>
    <w:p w14:paraId="2BB567B5" w14:textId="5726E1B6" w:rsidR="00425ED8" w:rsidRPr="00425ED8" w:rsidRDefault="00425ED8" w:rsidP="00425ED8">
      <w:pP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Diplomant:</w:t>
      </w:r>
      <w:r w:rsidRPr="00425ED8">
        <w:rPr>
          <w:rFonts w:eastAsia="Times New Roman" w:cs="Times New Roman"/>
          <w:b/>
        </w:rPr>
        <w:tab/>
      </w:r>
      <w:r w:rsidR="00FB4E04">
        <w:rPr>
          <w:rFonts w:eastAsia="Times New Roman" w:cs="Times New Roman"/>
          <w:b/>
        </w:rPr>
        <w:t xml:space="preserve">            Andrey </w:t>
      </w:r>
      <w:proofErr w:type="spellStart"/>
      <w:r w:rsidR="00FB4E04">
        <w:rPr>
          <w:rFonts w:eastAsia="Times New Roman" w:cs="Times New Roman"/>
          <w:b/>
        </w:rPr>
        <w:t>Semenov</w:t>
      </w:r>
      <w:proofErr w:type="spellEnd"/>
    </w:p>
    <w:p w14:paraId="69585B4D" w14:textId="63EF8104" w:rsidR="00425ED8" w:rsidRPr="00425ED8" w:rsidRDefault="00425ED8" w:rsidP="00425ED8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  <w:r w:rsidR="000B1716">
        <w:rPr>
          <w:rFonts w:eastAsia="Times New Roman" w:cs="Times New Roman"/>
          <w:b/>
        </w:rPr>
        <w:t>, Ph.D.</w:t>
      </w:r>
    </w:p>
    <w:p w14:paraId="7DB37CEC" w14:textId="77777777"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14:paraId="69CC75C6" w14:textId="77777777" w:rsidR="00256DE3" w:rsidRDefault="00256DE3" w:rsidP="00425ED8">
      <w:pPr>
        <w:jc w:val="both"/>
        <w:rPr>
          <w:rFonts w:eastAsia="Times New Roman" w:cs="Times New Roman"/>
          <w:b/>
        </w:rPr>
      </w:pPr>
    </w:p>
    <w:p w14:paraId="63CF1980" w14:textId="77777777"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14:paraId="1B1224E9" w14:textId="5A628F64" w:rsidR="003B5585" w:rsidRPr="00B6134F" w:rsidRDefault="000B1716" w:rsidP="000B1716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</w:t>
      </w:r>
      <w:r w:rsidR="00D82196">
        <w:rPr>
          <w:rFonts w:eastAsia="Times New Roman" w:cs="Times New Roman"/>
        </w:rPr>
        <w:t xml:space="preserve"> téma diplomové práce si autor</w:t>
      </w:r>
      <w:r w:rsidR="00FB4E04">
        <w:rPr>
          <w:rFonts w:eastAsia="Times New Roman" w:cs="Times New Roman"/>
        </w:rPr>
        <w:t xml:space="preserve"> vybral</w:t>
      </w:r>
      <w:r w:rsidR="00D82196">
        <w:rPr>
          <w:rFonts w:eastAsia="Times New Roman" w:cs="Times New Roman"/>
        </w:rPr>
        <w:t xml:space="preserve"> „</w:t>
      </w:r>
      <w:r w:rsidR="00FB4E04">
        <w:rPr>
          <w:rFonts w:eastAsia="Times New Roman" w:cs="Times New Roman"/>
          <w:i/>
          <w:iCs/>
        </w:rPr>
        <w:t>Principy vyvlastňovacího řízení ve světle judikatury,</w:t>
      </w:r>
      <w:r w:rsidR="00D82196">
        <w:rPr>
          <w:rFonts w:eastAsia="Times New Roman" w:cs="Times New Roman"/>
        </w:rPr>
        <w:t>“</w:t>
      </w:r>
      <w:r w:rsidR="00FB4E04">
        <w:rPr>
          <w:rFonts w:eastAsia="Times New Roman" w:cs="Times New Roman"/>
        </w:rPr>
        <w:t xml:space="preserve"> kdy sám autor v úvodu práce uvádí, že diplomová práce může být k pochopení problematiky vyvlastnění </w:t>
      </w:r>
      <w:r w:rsidR="00FB4E04" w:rsidRPr="00FB4E04">
        <w:rPr>
          <w:rFonts w:eastAsia="Times New Roman" w:cs="Times New Roman"/>
          <w:i/>
          <w:iCs/>
        </w:rPr>
        <w:t>přínosná</w:t>
      </w:r>
      <w:r w:rsidR="00FB4E04">
        <w:rPr>
          <w:rFonts w:eastAsia="Times New Roman" w:cs="Times New Roman"/>
        </w:rPr>
        <w:t>.</w:t>
      </w:r>
      <w:r w:rsidR="00B6134F">
        <w:rPr>
          <w:rFonts w:eastAsia="Times New Roman" w:cs="Times New Roman"/>
        </w:rPr>
        <w:t xml:space="preserve"> </w:t>
      </w:r>
      <w:r w:rsidR="00FB4E04">
        <w:rPr>
          <w:rFonts w:eastAsia="Times New Roman" w:cs="Times New Roman"/>
        </w:rPr>
        <w:t>Cílem práce je pak dle autora</w:t>
      </w:r>
      <w:r w:rsidR="00D82196">
        <w:rPr>
          <w:rFonts w:eastAsia="Times New Roman" w:cs="Times New Roman"/>
        </w:rPr>
        <w:t xml:space="preserve"> „</w:t>
      </w:r>
      <w:r w:rsidR="00FB4E04">
        <w:rPr>
          <w:rFonts w:eastAsia="Times New Roman" w:cs="Times New Roman"/>
          <w:i/>
          <w:iCs/>
        </w:rPr>
        <w:t>poskytnutí náhledu na právní úpravu vyvlastňovacího řízení se zvláštním zaměřením na specifické procesní zásady a jejich dílčí aspekty ve světle relevantní judikatury, dále také seznámení čtenáře se specifiky soudní ochrany proti rozhodnutí o vyvlastnění</w:t>
      </w:r>
      <w:r w:rsidR="00A0537D">
        <w:rPr>
          <w:rFonts w:eastAsia="Times New Roman" w:cs="Times New Roman"/>
          <w:i/>
          <w:iCs/>
        </w:rPr>
        <w:t>.“</w:t>
      </w:r>
      <w:r>
        <w:rPr>
          <w:rFonts w:eastAsia="Times New Roman" w:cs="Times New Roman"/>
        </w:rPr>
        <w:t xml:space="preserve"> </w:t>
      </w:r>
      <w:r w:rsidR="00B6134F">
        <w:rPr>
          <w:rFonts w:eastAsia="Times New Roman" w:cs="Times New Roman"/>
        </w:rPr>
        <w:t>J</w:t>
      </w:r>
      <w:r w:rsidR="005971E6">
        <w:rPr>
          <w:rFonts w:eastAsia="Times New Roman" w:cs="Times New Roman"/>
        </w:rPr>
        <w:t xml:space="preserve">e možné konstatovat, že jak </w:t>
      </w:r>
      <w:r w:rsidR="00B6134F">
        <w:rPr>
          <w:rFonts w:eastAsia="Times New Roman" w:cs="Times New Roman"/>
        </w:rPr>
        <w:t xml:space="preserve">zadání práce, tak </w:t>
      </w:r>
      <w:r w:rsidR="005971E6">
        <w:rPr>
          <w:rFonts w:eastAsia="Times New Roman" w:cs="Times New Roman"/>
        </w:rPr>
        <w:t xml:space="preserve">její cíl </w:t>
      </w:r>
      <w:r w:rsidR="00B6134F">
        <w:rPr>
          <w:rFonts w:eastAsia="Times New Roman" w:cs="Times New Roman"/>
        </w:rPr>
        <w:t xml:space="preserve">odpovídají požadavkům kladeným na </w:t>
      </w:r>
      <w:r w:rsidR="005971E6">
        <w:rPr>
          <w:rFonts w:eastAsia="Times New Roman" w:cs="Times New Roman"/>
        </w:rPr>
        <w:t>tento druh kvalifikační práce.</w:t>
      </w:r>
    </w:p>
    <w:p w14:paraId="221EB738" w14:textId="77777777" w:rsidR="00425ED8" w:rsidRPr="00425ED8" w:rsidRDefault="00425ED8" w:rsidP="00425ED8">
      <w:pPr>
        <w:jc w:val="both"/>
        <w:rPr>
          <w:rFonts w:eastAsia="Times New Roman" w:cs="Times New Roman"/>
        </w:rPr>
      </w:pPr>
    </w:p>
    <w:p w14:paraId="0F679825" w14:textId="77777777" w:rsidR="00256DE3" w:rsidRPr="00425ED8" w:rsidRDefault="00425ED8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2. Přístup studenta k řešení zadaného úkolu, původnost a úroveň práce s prameny:</w:t>
      </w:r>
    </w:p>
    <w:p w14:paraId="2272F688" w14:textId="519D0946" w:rsidR="00A0537D" w:rsidRDefault="00C25661" w:rsidP="0003535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Autor práci rozdělil do </w:t>
      </w:r>
      <w:r w:rsidR="00A0537D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hlavních kapitol, kdy </w:t>
      </w:r>
      <w:r w:rsidR="00D81ECD">
        <w:rPr>
          <w:rFonts w:eastAsia="Times New Roman" w:cs="Times New Roman"/>
        </w:rPr>
        <w:t xml:space="preserve">se </w:t>
      </w:r>
      <w:r>
        <w:rPr>
          <w:rFonts w:eastAsia="Times New Roman" w:cs="Times New Roman"/>
        </w:rPr>
        <w:t xml:space="preserve">nejprve </w:t>
      </w:r>
      <w:r w:rsidR="005971E6">
        <w:rPr>
          <w:rFonts w:eastAsia="Times New Roman" w:cs="Times New Roman"/>
        </w:rPr>
        <w:t>věnoval</w:t>
      </w:r>
      <w:r w:rsidR="00035353">
        <w:rPr>
          <w:rFonts w:eastAsia="Times New Roman" w:cs="Times New Roman"/>
        </w:rPr>
        <w:t xml:space="preserve"> vymezení pojmů vlastnictví, vyvlastnění a vyvlastňovacímu řízení, na což navázal kapitolou věnující se zásadě koncentrace vyvlastňovacího řízení ve světle judikatury (kapitola třetí) a zásadě ústnosti vyvlastňovacího říz</w:t>
      </w:r>
      <w:r w:rsidR="0062672F">
        <w:rPr>
          <w:rFonts w:eastAsia="Times New Roman" w:cs="Times New Roman"/>
        </w:rPr>
        <w:t>e</w:t>
      </w:r>
      <w:r w:rsidR="00035353">
        <w:rPr>
          <w:rFonts w:eastAsia="Times New Roman" w:cs="Times New Roman"/>
        </w:rPr>
        <w:t>ní ve světle judikatury (kapitola čtvrtá), kdy zejména tyto dvě kapitoly by měly být hlavní částí práce (rozsahově je jim však věnováno pouze 13 stran textu</w:t>
      </w:r>
      <w:r w:rsidR="0062672F">
        <w:rPr>
          <w:rFonts w:eastAsia="Times New Roman" w:cs="Times New Roman"/>
        </w:rPr>
        <w:t>)</w:t>
      </w:r>
      <w:r w:rsidR="00035353">
        <w:rPr>
          <w:rFonts w:eastAsia="Times New Roman" w:cs="Times New Roman"/>
        </w:rPr>
        <w:t>. V</w:t>
      </w:r>
      <w:r w:rsidR="00750182">
        <w:rPr>
          <w:rFonts w:eastAsia="Times New Roman" w:cs="Times New Roman"/>
        </w:rPr>
        <w:t xml:space="preserve"> poslední kapitole </w:t>
      </w:r>
      <w:r w:rsidR="00035353">
        <w:rPr>
          <w:rFonts w:eastAsia="Times New Roman" w:cs="Times New Roman"/>
        </w:rPr>
        <w:t>se pak autor věnuje soudnímu přezkumu rozhodnutí o vyvlastnění.</w:t>
      </w:r>
    </w:p>
    <w:p w14:paraId="14446AC8" w14:textId="5B1CFE44" w:rsidR="005971E6" w:rsidRDefault="005971E6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Struktura práce je </w:t>
      </w:r>
      <w:r w:rsidR="00035353">
        <w:rPr>
          <w:rFonts w:eastAsia="Times New Roman" w:cs="Times New Roman"/>
        </w:rPr>
        <w:t xml:space="preserve">víceméně </w:t>
      </w:r>
      <w:r>
        <w:rPr>
          <w:rFonts w:eastAsia="Times New Roman" w:cs="Times New Roman"/>
        </w:rPr>
        <w:t>logická a přehledná</w:t>
      </w:r>
      <w:r w:rsidR="00D81ECD">
        <w:rPr>
          <w:rFonts w:eastAsia="Times New Roman" w:cs="Times New Roman"/>
        </w:rPr>
        <w:t>, jednotlivé kapitoly jsou provázané</w:t>
      </w:r>
      <w:r w:rsidR="00CB15E2">
        <w:rPr>
          <w:rFonts w:eastAsia="Times New Roman" w:cs="Times New Roman"/>
        </w:rPr>
        <w:t xml:space="preserve">, je na místě však upozornit na rozsahovou nevyváženost jednotlivých podkapitol, zejména pak v kapitole 1. </w:t>
      </w:r>
    </w:p>
    <w:p w14:paraId="08BF39C3" w14:textId="3E66729A" w:rsidR="000B1716" w:rsidRDefault="005971E6" w:rsidP="000B1716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 formální stránce práce </w:t>
      </w:r>
      <w:r w:rsidR="0083339B">
        <w:rPr>
          <w:rFonts w:eastAsia="Times New Roman" w:cs="Times New Roman"/>
        </w:rPr>
        <w:t xml:space="preserve">v podstatě </w:t>
      </w:r>
      <w:r>
        <w:rPr>
          <w:rFonts w:eastAsia="Times New Roman" w:cs="Times New Roman"/>
        </w:rPr>
        <w:t xml:space="preserve">splňuje požadavky na ni kladené, </w:t>
      </w:r>
      <w:r w:rsidR="000B1716">
        <w:rPr>
          <w:rFonts w:eastAsia="Times New Roman" w:cs="Times New Roman"/>
        </w:rPr>
        <w:t xml:space="preserve">je </w:t>
      </w:r>
      <w:r w:rsidR="0083339B">
        <w:rPr>
          <w:rFonts w:eastAsia="Times New Roman" w:cs="Times New Roman"/>
        </w:rPr>
        <w:t xml:space="preserve">víceméně </w:t>
      </w:r>
      <w:r w:rsidR="000B1716">
        <w:rPr>
          <w:rFonts w:eastAsia="Times New Roman" w:cs="Times New Roman"/>
        </w:rPr>
        <w:t>prosta překlepů i gramatických chyb</w:t>
      </w:r>
      <w:r w:rsidR="00BD07E8">
        <w:rPr>
          <w:rFonts w:eastAsia="Times New Roman" w:cs="Times New Roman"/>
        </w:rPr>
        <w:t xml:space="preserve">, </w:t>
      </w:r>
      <w:r w:rsidR="00CB15E2">
        <w:rPr>
          <w:rFonts w:eastAsia="Times New Roman" w:cs="Times New Roman"/>
        </w:rPr>
        <w:t>na místě je upozornit na to</w:t>
      </w:r>
      <w:r w:rsidR="0083339B">
        <w:rPr>
          <w:rFonts w:eastAsia="Times New Roman" w:cs="Times New Roman"/>
        </w:rPr>
        <w:t>, že autor</w:t>
      </w:r>
      <w:r w:rsidR="00502E62">
        <w:rPr>
          <w:rFonts w:eastAsia="Times New Roman" w:cs="Times New Roman"/>
        </w:rPr>
        <w:t xml:space="preserve"> v práci nepoužívá</w:t>
      </w:r>
      <w:r w:rsidR="00BB5FB4">
        <w:rPr>
          <w:rFonts w:eastAsia="Times New Roman" w:cs="Times New Roman"/>
        </w:rPr>
        <w:t xml:space="preserve"> tzv.</w:t>
      </w:r>
      <w:r w:rsidR="00502E62">
        <w:rPr>
          <w:rFonts w:eastAsia="Times New Roman" w:cs="Times New Roman"/>
        </w:rPr>
        <w:t xml:space="preserve"> tvrdé mezery</w:t>
      </w:r>
      <w:r w:rsidR="00CB15E2">
        <w:rPr>
          <w:rFonts w:eastAsia="Times New Roman" w:cs="Times New Roman"/>
        </w:rPr>
        <w:t xml:space="preserve">, všechny poznámky pod čarou nejsou zakončeny tečkou, rozsudek se píše s malým </w:t>
      </w:r>
      <w:r w:rsidR="00CB15E2" w:rsidRPr="00CB15E2">
        <w:rPr>
          <w:rFonts w:eastAsia="Times New Roman" w:cs="Times New Roman"/>
          <w:u w:val="single"/>
        </w:rPr>
        <w:t>r</w:t>
      </w:r>
      <w:r w:rsidR="00CB15E2" w:rsidRPr="00CB15E2">
        <w:rPr>
          <w:rFonts w:eastAsia="Times New Roman" w:cs="Times New Roman"/>
        </w:rPr>
        <w:t xml:space="preserve"> (viz str. 11).</w:t>
      </w:r>
      <w:r w:rsidR="006A1DF8">
        <w:rPr>
          <w:rFonts w:eastAsia="Times New Roman" w:cs="Times New Roman"/>
        </w:rPr>
        <w:t xml:space="preserve"> Autor v práci též nesprávně cituje Listinu či důvodové zprávy.</w:t>
      </w:r>
    </w:p>
    <w:p w14:paraId="7E0A9DD2" w14:textId="25446B0A" w:rsidR="00502E62" w:rsidRDefault="00CB15E2" w:rsidP="00AC2FB0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Byť je t</w:t>
      </w:r>
      <w:r w:rsidR="005971E6">
        <w:rPr>
          <w:rFonts w:eastAsia="Times New Roman" w:cs="Times New Roman"/>
        </w:rPr>
        <w:t>ext práce na předpokládané úrovni odbornosti,</w:t>
      </w:r>
      <w:r w:rsidR="00B6675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autor</w:t>
      </w:r>
      <w:r w:rsidR="000A1C7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 své diplomové práci v podstatě vyvlastňovací řízení a jeho principy pouze popisuje, a to z velké části pouze s odkazem na zákon</w:t>
      </w:r>
      <w:r w:rsidR="00AC2FB0">
        <w:rPr>
          <w:rFonts w:eastAsia="Times New Roman" w:cs="Times New Roman"/>
        </w:rPr>
        <w:t xml:space="preserve"> (když </w:t>
      </w:r>
      <w:proofErr w:type="spellStart"/>
      <w:r w:rsidR="00AC2FB0">
        <w:rPr>
          <w:rFonts w:eastAsia="Times New Roman" w:cs="Times New Roman"/>
        </w:rPr>
        <w:t>příkladmo</w:t>
      </w:r>
      <w:proofErr w:type="spellEnd"/>
      <w:r w:rsidR="00AC2FB0">
        <w:rPr>
          <w:rFonts w:eastAsia="Times New Roman" w:cs="Times New Roman"/>
        </w:rPr>
        <w:t xml:space="preserve"> je možné poukázat na druhou kapitolu, která je </w:t>
      </w:r>
      <w:r w:rsidR="0040030E">
        <w:rPr>
          <w:rFonts w:eastAsia="Times New Roman" w:cs="Times New Roman"/>
        </w:rPr>
        <w:t>z podstatné části tvořena pouze zákonnými ustanoveními)</w:t>
      </w:r>
      <w:r>
        <w:rPr>
          <w:rFonts w:eastAsia="Times New Roman" w:cs="Times New Roman"/>
        </w:rPr>
        <w:t xml:space="preserve"> či na odbornou literaturu</w:t>
      </w:r>
      <w:r w:rsidR="00AC2FB0">
        <w:rPr>
          <w:rFonts w:eastAsia="Times New Roman" w:cs="Times New Roman"/>
        </w:rPr>
        <w:t>. S</w:t>
      </w:r>
      <w:r>
        <w:rPr>
          <w:rFonts w:eastAsia="Times New Roman" w:cs="Times New Roman"/>
        </w:rPr>
        <w:t xml:space="preserve">ám </w:t>
      </w:r>
      <w:r w:rsidR="00AC2FB0">
        <w:rPr>
          <w:rFonts w:eastAsia="Times New Roman" w:cs="Times New Roman"/>
        </w:rPr>
        <w:t xml:space="preserve">autor </w:t>
      </w:r>
      <w:r>
        <w:rPr>
          <w:rFonts w:eastAsia="Times New Roman" w:cs="Times New Roman"/>
        </w:rPr>
        <w:t xml:space="preserve">se však problematickým otázkám hlouběji nevěnuje a již vůbec je např. podrobněji neanalyzuje, když jen </w:t>
      </w:r>
      <w:r w:rsidR="00AC2FB0">
        <w:rPr>
          <w:rFonts w:eastAsia="Times New Roman" w:cs="Times New Roman"/>
        </w:rPr>
        <w:t xml:space="preserve">v podstatě </w:t>
      </w:r>
      <w:r>
        <w:rPr>
          <w:rFonts w:eastAsia="Times New Roman" w:cs="Times New Roman"/>
        </w:rPr>
        <w:t xml:space="preserve">přejímá názory </w:t>
      </w:r>
      <w:r w:rsidR="00AC2FB0">
        <w:rPr>
          <w:rFonts w:eastAsia="Times New Roman" w:cs="Times New Roman"/>
        </w:rPr>
        <w:t>z odborných publikací a tyto již dále nikterak nehodnotí.</w:t>
      </w:r>
    </w:p>
    <w:p w14:paraId="29D16558" w14:textId="2ADDB028" w:rsidR="00C25661" w:rsidRDefault="00C25661" w:rsidP="00774701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Při zpracování práce vycházel autor</w:t>
      </w:r>
      <w:r w:rsidR="00AC2F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zejména ze znění </w:t>
      </w:r>
      <w:r w:rsidR="00502E62">
        <w:rPr>
          <w:rFonts w:eastAsia="Times New Roman" w:cs="Times New Roman"/>
        </w:rPr>
        <w:t xml:space="preserve">příslušných </w:t>
      </w:r>
      <w:r>
        <w:rPr>
          <w:rFonts w:eastAsia="Times New Roman" w:cs="Times New Roman"/>
        </w:rPr>
        <w:t>právních předpisů a dále též z</w:t>
      </w:r>
      <w:r w:rsidR="00AC2FB0">
        <w:rPr>
          <w:rFonts w:eastAsia="Times New Roman" w:cs="Times New Roman"/>
        </w:rPr>
        <w:t xml:space="preserve"> příslušné</w:t>
      </w:r>
      <w:r>
        <w:rPr>
          <w:rFonts w:eastAsia="Times New Roman" w:cs="Times New Roman"/>
        </w:rPr>
        <w:t> komentářové literatury a dalších odborných zdrojů</w:t>
      </w:r>
      <w:r w:rsidR="00502E62">
        <w:rPr>
          <w:rFonts w:eastAsia="Times New Roman" w:cs="Times New Roman"/>
        </w:rPr>
        <w:t xml:space="preserve">, jako </w:t>
      </w:r>
      <w:r w:rsidR="0073582B">
        <w:rPr>
          <w:rFonts w:eastAsia="Times New Roman" w:cs="Times New Roman"/>
        </w:rPr>
        <w:t xml:space="preserve">např. </w:t>
      </w:r>
      <w:r w:rsidR="00502E62">
        <w:rPr>
          <w:rFonts w:eastAsia="Times New Roman" w:cs="Times New Roman"/>
        </w:rPr>
        <w:t>z učebnic</w:t>
      </w:r>
      <w:r w:rsidR="0073582B">
        <w:rPr>
          <w:rFonts w:eastAsia="Times New Roman" w:cs="Times New Roman"/>
        </w:rPr>
        <w:t>e</w:t>
      </w:r>
      <w:r w:rsidR="00502E62">
        <w:rPr>
          <w:rFonts w:eastAsia="Times New Roman" w:cs="Times New Roman"/>
        </w:rPr>
        <w:t xml:space="preserve"> správního práva</w:t>
      </w:r>
      <w:r w:rsidR="0073582B">
        <w:rPr>
          <w:rFonts w:eastAsia="Times New Roman" w:cs="Times New Roman"/>
        </w:rPr>
        <w:t xml:space="preserve"> či </w:t>
      </w:r>
      <w:r w:rsidR="0062672F">
        <w:rPr>
          <w:rFonts w:eastAsia="Times New Roman" w:cs="Times New Roman"/>
        </w:rPr>
        <w:t xml:space="preserve">z </w:t>
      </w:r>
      <w:r w:rsidR="0073582B">
        <w:rPr>
          <w:rFonts w:eastAsia="Times New Roman" w:cs="Times New Roman"/>
        </w:rPr>
        <w:t>odborných příspěvků</w:t>
      </w:r>
      <w:r w:rsidR="00502E62">
        <w:rPr>
          <w:rFonts w:eastAsia="Times New Roman" w:cs="Times New Roman"/>
        </w:rPr>
        <w:t>.</w:t>
      </w:r>
      <w:r w:rsidR="00774701">
        <w:rPr>
          <w:rFonts w:eastAsia="Times New Roman" w:cs="Times New Roman"/>
        </w:rPr>
        <w:t xml:space="preserve"> Právní předpisy a odborné zdroje autor doplnil</w:t>
      </w:r>
      <w:r w:rsidR="00502E62">
        <w:rPr>
          <w:rFonts w:eastAsia="Times New Roman" w:cs="Times New Roman"/>
        </w:rPr>
        <w:t xml:space="preserve"> </w:t>
      </w:r>
      <w:r w:rsidR="00774701">
        <w:rPr>
          <w:rFonts w:eastAsia="Times New Roman" w:cs="Times New Roman"/>
        </w:rPr>
        <w:t>soudní judikaturou</w:t>
      </w:r>
      <w:r w:rsidR="00AC2FB0">
        <w:rPr>
          <w:rFonts w:eastAsia="Times New Roman" w:cs="Times New Roman"/>
        </w:rPr>
        <w:t xml:space="preserve">, což s odkazem na téma práce bylo nepochybně vyžadováno. </w:t>
      </w:r>
      <w:r w:rsidR="00502E62">
        <w:rPr>
          <w:rFonts w:eastAsia="Times New Roman" w:cs="Times New Roman"/>
        </w:rPr>
        <w:t>S</w:t>
      </w:r>
      <w:r w:rsidR="00774701">
        <w:rPr>
          <w:rFonts w:eastAsia="Times New Roman" w:cs="Times New Roman"/>
        </w:rPr>
        <w:t>trukturu použitých pramenů</w:t>
      </w:r>
      <w:r w:rsidR="00502E62">
        <w:rPr>
          <w:rFonts w:eastAsia="Times New Roman" w:cs="Times New Roman"/>
        </w:rPr>
        <w:t xml:space="preserve"> tak lze považovat</w:t>
      </w:r>
      <w:r w:rsidR="00774701">
        <w:rPr>
          <w:rFonts w:eastAsia="Times New Roman" w:cs="Times New Roman"/>
        </w:rPr>
        <w:t xml:space="preserve"> za dostatečnou. Z </w:t>
      </w:r>
      <w:r>
        <w:rPr>
          <w:rFonts w:eastAsia="Times New Roman" w:cs="Times New Roman"/>
        </w:rPr>
        <w:t>hlediska práce s použitými prameny</w:t>
      </w:r>
      <w:r w:rsidR="00502E6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lastRenderedPageBreak/>
        <w:t>lze konstatovat, že autor prokázal</w:t>
      </w:r>
      <w:r w:rsidR="00502E6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schopnost pracovat jak s právními předpisy a judikaturou, tak i s texty odbornými</w:t>
      </w:r>
      <w:r w:rsidR="0073582B">
        <w:rPr>
          <w:rFonts w:eastAsia="Times New Roman" w:cs="Times New Roman"/>
        </w:rPr>
        <w:t>,</w:t>
      </w:r>
      <w:r w:rsidR="00AC2FB0" w:rsidRPr="00AC2FB0">
        <w:rPr>
          <w:rFonts w:eastAsia="Times New Roman" w:cs="Times New Roman"/>
        </w:rPr>
        <w:t xml:space="preserve"> byť </w:t>
      </w:r>
      <w:r w:rsidR="00AC2FB0">
        <w:rPr>
          <w:rFonts w:eastAsia="Times New Roman" w:cs="Times New Roman"/>
        </w:rPr>
        <w:t xml:space="preserve">je nepochybné, že by si celá řada autorem </w:t>
      </w:r>
      <w:r w:rsidR="00AC2FB0" w:rsidRPr="00AC2FB0">
        <w:rPr>
          <w:rFonts w:eastAsia="Times New Roman" w:cs="Times New Roman"/>
        </w:rPr>
        <w:t xml:space="preserve">citovaných závěrů, zejména pak soudních rozhodnutí </w:t>
      </w:r>
      <w:r w:rsidR="00AC2FB0">
        <w:rPr>
          <w:rFonts w:eastAsia="Times New Roman" w:cs="Times New Roman"/>
        </w:rPr>
        <w:t xml:space="preserve">či závěrů vyplývajících z odborných publikací, </w:t>
      </w:r>
      <w:r w:rsidR="00AC2FB0" w:rsidRPr="00AC2FB0">
        <w:rPr>
          <w:rFonts w:eastAsia="Times New Roman" w:cs="Times New Roman"/>
        </w:rPr>
        <w:t>zasloužila jejich podrobnější analýzu.</w:t>
      </w:r>
      <w:r w:rsidR="00AE0AA6">
        <w:rPr>
          <w:rFonts w:eastAsia="Times New Roman" w:cs="Times New Roman"/>
        </w:rPr>
        <w:t xml:space="preserve"> Autorem je v podstatě přehlédnuto to, že by diplomová práce měla být pr</w:t>
      </w:r>
      <w:r w:rsidR="00AE0AA6" w:rsidRPr="0038142B">
        <w:rPr>
          <w:rFonts w:eastAsia="Times New Roman" w:cs="Times New Roman"/>
        </w:rPr>
        <w:t xml:space="preserve">ací, která přináší nový pohled na zadaný problém nebo </w:t>
      </w:r>
      <w:r w:rsidR="00AE0AA6">
        <w:rPr>
          <w:rFonts w:eastAsia="Times New Roman" w:cs="Times New Roman"/>
        </w:rPr>
        <w:t xml:space="preserve">která </w:t>
      </w:r>
      <w:r w:rsidR="00AE0AA6" w:rsidRPr="0038142B">
        <w:rPr>
          <w:rFonts w:eastAsia="Times New Roman" w:cs="Times New Roman"/>
        </w:rPr>
        <w:t>je fundovanou analýzou zkoumaného problému a variant jeho řešení</w:t>
      </w:r>
      <w:r w:rsidR="00AE0AA6">
        <w:rPr>
          <w:rFonts w:eastAsia="Times New Roman" w:cs="Times New Roman"/>
        </w:rPr>
        <w:t>. Absentuje též jakékoli propojení teoretického výkladu s praxí a nabízí se tak otázka, co přináší diplomová práce nového.</w:t>
      </w:r>
    </w:p>
    <w:p w14:paraId="4A85E5CC" w14:textId="169431FE" w:rsidR="0040030E" w:rsidRDefault="00502E62" w:rsidP="0040030E">
      <w:pPr>
        <w:spacing w:before="120"/>
        <w:ind w:firstLine="709"/>
        <w:jc w:val="both"/>
      </w:pPr>
      <w:r>
        <w:rPr>
          <w:rFonts w:eastAsia="Times New Roman" w:cs="Times New Roman"/>
        </w:rPr>
        <w:t>K</w:t>
      </w:r>
      <w:r w:rsidR="008B1A79">
        <w:rPr>
          <w:rFonts w:eastAsia="Times New Roman" w:cs="Times New Roman"/>
        </w:rPr>
        <w:t xml:space="preserve"> samotnému</w:t>
      </w:r>
      <w:r>
        <w:rPr>
          <w:rFonts w:eastAsia="Times New Roman" w:cs="Times New Roman"/>
        </w:rPr>
        <w:t> obsahovému zpracování práce</w:t>
      </w:r>
      <w:r w:rsidR="008B1A79">
        <w:rPr>
          <w:rFonts w:eastAsia="Times New Roman" w:cs="Times New Roman"/>
        </w:rPr>
        <w:t xml:space="preserve"> je pak nezbytné konstatovat, že posuzovaná diplomová práce</w:t>
      </w:r>
      <w:r w:rsidR="00BB5FB4">
        <w:rPr>
          <w:rFonts w:eastAsia="Times New Roman" w:cs="Times New Roman"/>
        </w:rPr>
        <w:t xml:space="preserve"> bohužel</w:t>
      </w:r>
      <w:r w:rsidR="008B1A79">
        <w:rPr>
          <w:rFonts w:eastAsia="Times New Roman" w:cs="Times New Roman"/>
        </w:rPr>
        <w:t xml:space="preserve"> obsahuje </w:t>
      </w:r>
      <w:r w:rsidR="00BB5FB4">
        <w:rPr>
          <w:rFonts w:eastAsia="Times New Roman" w:cs="Times New Roman"/>
        </w:rPr>
        <w:t xml:space="preserve">i </w:t>
      </w:r>
      <w:r w:rsidR="008B1A79">
        <w:rPr>
          <w:rFonts w:eastAsia="Times New Roman" w:cs="Times New Roman"/>
        </w:rPr>
        <w:t xml:space="preserve">řadu nepřesných či nejasných formulací, z nichž </w:t>
      </w:r>
      <w:r w:rsidR="00412A3F">
        <w:rPr>
          <w:rFonts w:eastAsia="Times New Roman" w:cs="Times New Roman"/>
        </w:rPr>
        <w:t xml:space="preserve">často ani </w:t>
      </w:r>
      <w:r w:rsidR="008B1A79">
        <w:rPr>
          <w:rFonts w:eastAsia="Times New Roman" w:cs="Times New Roman"/>
        </w:rPr>
        <w:t>není zřejmé, co jimi autor skutečně myslel</w:t>
      </w:r>
      <w:r w:rsidR="00412A3F">
        <w:rPr>
          <w:rFonts w:eastAsia="Times New Roman" w:cs="Times New Roman"/>
        </w:rPr>
        <w:t xml:space="preserve">. </w:t>
      </w:r>
      <w:r w:rsidR="0040030E">
        <w:rPr>
          <w:rFonts w:eastAsia="Times New Roman" w:cs="Times New Roman"/>
        </w:rPr>
        <w:t>Některé odstavce ani nedávají smysl (viz např. poslední odstavec na str. 11, text na str. 20, poslední odstavec na str. 25</w:t>
      </w:r>
      <w:r w:rsidR="00C516D2">
        <w:rPr>
          <w:rFonts w:eastAsia="Times New Roman" w:cs="Times New Roman"/>
        </w:rPr>
        <w:t xml:space="preserve"> či poslední odstavec na st. 51</w:t>
      </w:r>
      <w:r w:rsidR="0040030E">
        <w:rPr>
          <w:rFonts w:eastAsia="Times New Roman" w:cs="Times New Roman"/>
        </w:rPr>
        <w:t>)</w:t>
      </w:r>
      <w:r w:rsidR="0073582B">
        <w:t>.</w:t>
      </w:r>
    </w:p>
    <w:p w14:paraId="37909B40" w14:textId="683AF34C" w:rsidR="00B23F47" w:rsidRDefault="0040030E" w:rsidP="0040030E">
      <w:pPr>
        <w:spacing w:before="120"/>
        <w:ind w:firstLine="709"/>
        <w:jc w:val="both"/>
      </w:pPr>
      <w:r>
        <w:t>Dále na str. 18 autor odkazuje na rozhodnutí Nejvyššího soudu, jedná se však o rozsudek Nejvy</w:t>
      </w:r>
      <w:r w:rsidR="00996978">
        <w:t>šší</w:t>
      </w:r>
      <w:r>
        <w:t>ho správního soudu (viz poznámka</w:t>
      </w:r>
      <w:r w:rsidR="00996978">
        <w:t xml:space="preserve"> </w:t>
      </w:r>
      <w:r>
        <w:t>pod čarou č. 106)</w:t>
      </w:r>
      <w:r w:rsidR="00996978">
        <w:t>, na str</w:t>
      </w:r>
      <w:r w:rsidR="0062672F">
        <w:t xml:space="preserve">. </w:t>
      </w:r>
      <w:r w:rsidR="00996978">
        <w:t xml:space="preserve">33 navzdory zákonnému znění označuje vyvlastnitele za vyvlastňovatele. Pokud autor v poznámce pod čarou č. 140 </w:t>
      </w:r>
      <w:r w:rsidR="00AE0AA6">
        <w:t>ve</w:t>
      </w:r>
      <w:r w:rsidR="00021088">
        <w:t> </w:t>
      </w:r>
      <w:r w:rsidR="00AE0AA6">
        <w:t xml:space="preserve">vztahu k možnému rozšíření řízení (resp. jeho předmětu) </w:t>
      </w:r>
      <w:r w:rsidR="00996978">
        <w:t>odkazuje na § 41 odst. 8 správního řádu, není zřejmé, z čeho tento možný postup odvozuje.</w:t>
      </w:r>
      <w:r w:rsidR="00C516D2">
        <w:t xml:space="preserve"> Dále není např. zřejmé, proč se autor v práci poměrně zevrubně věnuje protokolu o ústním jednání (když opět jen přejímá zákonnou úpravu) či otázce přípustnosti žaloby ve správním soudnictví, když na str. 47 v podstatě opět jen opisuje znění zákona.</w:t>
      </w:r>
    </w:p>
    <w:p w14:paraId="376CE70D" w14:textId="48D23447" w:rsidR="00021088" w:rsidRDefault="00C516D2" w:rsidP="0040030E">
      <w:pPr>
        <w:spacing w:before="120"/>
        <w:ind w:firstLine="709"/>
        <w:jc w:val="both"/>
      </w:pPr>
      <w:r>
        <w:t xml:space="preserve">Pokud autor v úvodu práce uvádí, že při zpracování diplomové práce je použito několik vědeckých metod, nelze se s ním v tomto směru ztotožnit, když zejména </w:t>
      </w:r>
      <w:r w:rsidR="0062672F">
        <w:t xml:space="preserve">metoda </w:t>
      </w:r>
      <w:r>
        <w:t>indukce a</w:t>
      </w:r>
      <w:r w:rsidR="0062672F">
        <w:t> </w:t>
      </w:r>
      <w:r>
        <w:t>dedukce v práci dle názoru autora tohoto posudku absentuje.</w:t>
      </w:r>
    </w:p>
    <w:p w14:paraId="1806371D" w14:textId="31237448" w:rsidR="00C516D2" w:rsidRDefault="00E42456" w:rsidP="0040030E">
      <w:pPr>
        <w:spacing w:before="120"/>
        <w:ind w:firstLine="709"/>
        <w:jc w:val="both"/>
      </w:pPr>
      <w:r>
        <w:t>Ztotožnit se pak není možné ani se závěr</w:t>
      </w:r>
      <w:r w:rsidR="007C0AF0">
        <w:t>y</w:t>
      </w:r>
      <w:r>
        <w:t xml:space="preserve"> diplomové práce</w:t>
      </w:r>
      <w:r w:rsidR="007C0AF0">
        <w:t xml:space="preserve"> vymezené diplomantem v samotném závěru</w:t>
      </w:r>
      <w:r>
        <w:t xml:space="preserve">, když </w:t>
      </w:r>
      <w:proofErr w:type="spellStart"/>
      <w:r>
        <w:t>příkladmo</w:t>
      </w:r>
      <w:proofErr w:type="spellEnd"/>
      <w:r>
        <w:t xml:space="preserve"> si dovolím uvést následující nejasnosti:</w:t>
      </w:r>
    </w:p>
    <w:p w14:paraId="187B0B1D" w14:textId="190C1121" w:rsidR="00E42456" w:rsidRDefault="00E42456" w:rsidP="00E42456">
      <w:pPr>
        <w:pStyle w:val="Odstavecseseznamem"/>
        <w:numPr>
          <w:ilvl w:val="0"/>
          <w:numId w:val="3"/>
        </w:numPr>
        <w:spacing w:before="120"/>
        <w:jc w:val="both"/>
      </w:pPr>
      <w:r>
        <w:t xml:space="preserve">autor v závěru práce uvádí, že </w:t>
      </w:r>
      <w:r w:rsidRPr="00E42456">
        <w:rPr>
          <w:i/>
          <w:iCs/>
        </w:rPr>
        <w:t>soudní praxe řadu dílčích otázek spojených s procesními zásadami ve vztahu k vyvlastnění a vyvlastňovacímu řízení dosud neřešila, proto bylo nezbytné posoudit možnost aplikace jednotlivých závěrů soudů k dílčím aspektům řešené problematiky</w:t>
      </w:r>
      <w:r>
        <w:t xml:space="preserve"> – na jakých místech diplomové práce se</w:t>
      </w:r>
      <w:r w:rsidR="0062672F">
        <w:t> </w:t>
      </w:r>
      <w:r>
        <w:t>autor uvedenému posouzení věnoval?</w:t>
      </w:r>
    </w:p>
    <w:p w14:paraId="5E9B2943" w14:textId="027992C1" w:rsidR="00E42456" w:rsidRDefault="00E42456" w:rsidP="00E42456">
      <w:pPr>
        <w:pStyle w:val="Odstavecseseznamem"/>
        <w:numPr>
          <w:ilvl w:val="0"/>
          <w:numId w:val="3"/>
        </w:numPr>
        <w:spacing w:before="120"/>
        <w:jc w:val="both"/>
      </w:pPr>
      <w:r>
        <w:t xml:space="preserve">dále autor uvádí, že při </w:t>
      </w:r>
      <w:r w:rsidRPr="00E42456">
        <w:rPr>
          <w:i/>
          <w:iCs/>
        </w:rPr>
        <w:t xml:space="preserve">zkoumání současné právní úpravy byly zjištěny některé sporné otázky, jejichž možné řešení bylo navrhnuto v jednotlivých úvahách de lege </w:t>
      </w:r>
      <w:proofErr w:type="spellStart"/>
      <w:r w:rsidRPr="00E42456">
        <w:rPr>
          <w:i/>
          <w:iCs/>
        </w:rPr>
        <w:t>ferenda</w:t>
      </w:r>
      <w:proofErr w:type="spellEnd"/>
      <w:r w:rsidRPr="00E42456">
        <w:rPr>
          <w:i/>
          <w:iCs/>
        </w:rPr>
        <w:t xml:space="preserve"> a domněnkách o výkladu zákonných ustanovení</w:t>
      </w:r>
      <w:r>
        <w:rPr>
          <w:i/>
          <w:iCs/>
        </w:rPr>
        <w:t xml:space="preserve"> </w:t>
      </w:r>
      <w:r>
        <w:t xml:space="preserve">– jaké sporné otázky byly autorem zjištěny a jaké úvahy de lege </w:t>
      </w:r>
      <w:proofErr w:type="spellStart"/>
      <w:r>
        <w:t>ferenda</w:t>
      </w:r>
      <w:proofErr w:type="spellEnd"/>
      <w:r>
        <w:t xml:space="preserve"> autor v práci navrhl?</w:t>
      </w:r>
    </w:p>
    <w:p w14:paraId="5548D057" w14:textId="52FA5AA8" w:rsidR="00996978" w:rsidRDefault="007C0AF0" w:rsidP="007C0AF0">
      <w:pPr>
        <w:pStyle w:val="Odstavecseseznamem"/>
        <w:numPr>
          <w:ilvl w:val="0"/>
          <w:numId w:val="3"/>
        </w:numPr>
        <w:spacing w:before="120"/>
        <w:jc w:val="both"/>
      </w:pPr>
      <w:r>
        <w:t>p</w:t>
      </w:r>
      <w:r w:rsidR="00E42456">
        <w:t xml:space="preserve">okud autor </w:t>
      </w:r>
      <w:r>
        <w:t xml:space="preserve">ve vztahu k první kapitole uvádí, že </w:t>
      </w:r>
      <w:r w:rsidRPr="007C0AF0">
        <w:rPr>
          <w:i/>
          <w:iCs/>
        </w:rPr>
        <w:t>se při zkoumání jednotlivých podmínek dospělo k závěru, že jejich současná právní úprava zakotvená ve</w:t>
      </w:r>
      <w:r w:rsidR="0062672F">
        <w:rPr>
          <w:i/>
          <w:iCs/>
        </w:rPr>
        <w:t> </w:t>
      </w:r>
      <w:r w:rsidRPr="007C0AF0">
        <w:rPr>
          <w:i/>
          <w:iCs/>
        </w:rPr>
        <w:t>vyvlastňovacím zákonu není absolutně bez vad</w:t>
      </w:r>
      <w:r>
        <w:rPr>
          <w:i/>
          <w:iCs/>
        </w:rPr>
        <w:t xml:space="preserve">, </w:t>
      </w:r>
      <w:r>
        <w:t>jaké vady kromě zmiňovaného doručování návrhu smlouvy do zahraniční má autor na mysli?</w:t>
      </w:r>
    </w:p>
    <w:p w14:paraId="04755E03" w14:textId="77777777" w:rsidR="007C0AF0" w:rsidRPr="00B23F47" w:rsidRDefault="007C0AF0" w:rsidP="007C0AF0">
      <w:pPr>
        <w:pStyle w:val="Odstavecseseznamem"/>
        <w:spacing w:before="120"/>
        <w:ind w:left="1069"/>
        <w:jc w:val="both"/>
      </w:pPr>
    </w:p>
    <w:p w14:paraId="3CD50624" w14:textId="77777777"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3. Přínos práce a aktivita studenta během zpracování:</w:t>
      </w:r>
    </w:p>
    <w:p w14:paraId="49B0CA90" w14:textId="77777777" w:rsidR="006A1DF8" w:rsidRDefault="006A1DF8" w:rsidP="006A1DF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možné konstatovat, že posuzovaná práce, i přes výše uvedené připomínky a výtky, byla zpracována odpovídajícím způsobem</w:t>
      </w:r>
      <w:r w:rsidR="00D81ECD">
        <w:rPr>
          <w:rFonts w:eastAsia="Times New Roman" w:cs="Times New Roman"/>
        </w:rPr>
        <w:t xml:space="preserve">, kdy </w:t>
      </w:r>
      <w:r w:rsidR="006513DD">
        <w:rPr>
          <w:rFonts w:eastAsia="Times New Roman" w:cs="Times New Roman"/>
        </w:rPr>
        <w:t xml:space="preserve">autor </w:t>
      </w:r>
      <w:r w:rsidR="00D81ECD">
        <w:rPr>
          <w:rFonts w:eastAsia="Times New Roman" w:cs="Times New Roman"/>
        </w:rPr>
        <w:t>přiblížil</w:t>
      </w:r>
      <w:r w:rsidR="00FE046E">
        <w:rPr>
          <w:rFonts w:eastAsia="Times New Roman" w:cs="Times New Roman"/>
        </w:rPr>
        <w:t>, byť s určitými nedostatky</w:t>
      </w:r>
      <w:r w:rsidR="00AE0AA6">
        <w:rPr>
          <w:rFonts w:eastAsia="Times New Roman" w:cs="Times New Roman"/>
        </w:rPr>
        <w:t>, principy vyvlastňovacího řízení ve světle judikatury.</w:t>
      </w:r>
    </w:p>
    <w:p w14:paraId="0B319567" w14:textId="22CEDB33" w:rsidR="00AE0AA6" w:rsidRDefault="006A1DF8" w:rsidP="006A1DF8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Diplomant v průběhu zpracování práce bohužel využil</w:t>
      </w:r>
      <w:r w:rsidR="000210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možnosti konzultace s vedoucím práce pouze </w:t>
      </w:r>
      <w:r w:rsidR="00021088">
        <w:rPr>
          <w:rFonts w:eastAsia="Times New Roman" w:cs="Times New Roman"/>
        </w:rPr>
        <w:t>při sestavování osnovy diplomové práce, nikoli již následně při samotném zpracování práce</w:t>
      </w:r>
      <w:r>
        <w:rPr>
          <w:rFonts w:eastAsia="Times New Roman" w:cs="Times New Roman"/>
        </w:rPr>
        <w:t xml:space="preserve">, čímž bohužel vedoucí práce neměl možnost vyjádřit se k práci v průběhu </w:t>
      </w:r>
      <w:r w:rsidR="00021088">
        <w:rPr>
          <w:rFonts w:eastAsia="Times New Roman" w:cs="Times New Roman"/>
        </w:rPr>
        <w:lastRenderedPageBreak/>
        <w:t xml:space="preserve">jejího </w:t>
      </w:r>
      <w:r>
        <w:rPr>
          <w:rFonts w:eastAsia="Times New Roman" w:cs="Times New Roman"/>
        </w:rPr>
        <w:t>zpracování a sdělit autor</w:t>
      </w:r>
      <w:r w:rsidR="00021088">
        <w:rPr>
          <w:rFonts w:eastAsia="Times New Roman" w:cs="Times New Roman"/>
        </w:rPr>
        <w:t>ovi</w:t>
      </w:r>
      <w:r>
        <w:rPr>
          <w:rFonts w:eastAsia="Times New Roman" w:cs="Times New Roman"/>
        </w:rPr>
        <w:t xml:space="preserve"> např. výtky k čistě popisnému charakteru práce</w:t>
      </w:r>
      <w:r w:rsidR="00021088">
        <w:rPr>
          <w:rFonts w:eastAsia="Times New Roman" w:cs="Times New Roman"/>
        </w:rPr>
        <w:t xml:space="preserve"> či pouhému přejímání názorů z odborných publikací.</w:t>
      </w:r>
    </w:p>
    <w:p w14:paraId="286F4826" w14:textId="77777777" w:rsidR="00774701" w:rsidRPr="00425ED8" w:rsidRDefault="00774701" w:rsidP="005A7D23">
      <w:pPr>
        <w:ind w:firstLine="709"/>
        <w:jc w:val="both"/>
        <w:rPr>
          <w:rFonts w:eastAsia="Times New Roman" w:cs="Times New Roman"/>
        </w:rPr>
      </w:pPr>
    </w:p>
    <w:p w14:paraId="7AE75B94" w14:textId="14629340" w:rsidR="006A1DF8" w:rsidRPr="00021088" w:rsidRDefault="00425ED8" w:rsidP="00021088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práce:</w:t>
      </w:r>
    </w:p>
    <w:p w14:paraId="4E8D6F53" w14:textId="471800B0" w:rsidR="00425ED8" w:rsidRDefault="00021088" w:rsidP="007403D6">
      <w:pPr>
        <w:spacing w:before="120"/>
        <w:ind w:firstLine="709"/>
        <w:jc w:val="both"/>
        <w:rPr>
          <w:rFonts w:eastAsia="Times New Roman" w:cs="Times New Roman"/>
        </w:rPr>
      </w:pPr>
      <w:r w:rsidRPr="00A02C71">
        <w:rPr>
          <w:rFonts w:eastAsia="Times New Roman" w:cs="Times New Roman"/>
        </w:rPr>
        <w:t>I přes výše lze posuzovanou práci považovat za práci, která odpovídá požadavkům kladeným na diplomové práce</w:t>
      </w:r>
      <w:r>
        <w:rPr>
          <w:rFonts w:eastAsia="Times New Roman" w:cs="Times New Roman"/>
        </w:rPr>
        <w:t>, z</w:t>
      </w:r>
      <w:r w:rsidR="006A1DF8" w:rsidRPr="00A02C71">
        <w:rPr>
          <w:rFonts w:eastAsia="Times New Roman" w:cs="Times New Roman"/>
        </w:rPr>
        <w:t>adání a cíl práce byly s výše uvedenými</w:t>
      </w:r>
      <w:r w:rsidR="006A1DF8">
        <w:rPr>
          <w:rFonts w:eastAsia="Times New Roman" w:cs="Times New Roman"/>
        </w:rPr>
        <w:t xml:space="preserve"> připomínkami</w:t>
      </w:r>
      <w:r w:rsidR="006A1DF8" w:rsidRPr="00A02C71">
        <w:rPr>
          <w:rFonts w:eastAsia="Times New Roman" w:cs="Times New Roman"/>
        </w:rPr>
        <w:t xml:space="preserve"> víceméně naplněny, byť je třeba zdůraznit, že práci chybí tzv.</w:t>
      </w:r>
      <w:r w:rsidR="006A1DF8">
        <w:rPr>
          <w:rFonts w:eastAsia="Times New Roman" w:cs="Times New Roman"/>
        </w:rPr>
        <w:t> </w:t>
      </w:r>
      <w:r w:rsidR="006A1DF8" w:rsidRPr="00A02C71">
        <w:rPr>
          <w:rFonts w:eastAsia="Times New Roman" w:cs="Times New Roman"/>
        </w:rPr>
        <w:t>přidaná hodnota, kterou by diplomová práce, jakožto původní odborný text studenta právnické fakulty</w:t>
      </w:r>
      <w:r w:rsidR="006A1DF8">
        <w:rPr>
          <w:rFonts w:eastAsia="Times New Roman" w:cs="Times New Roman"/>
        </w:rPr>
        <w:t>,</w:t>
      </w:r>
      <w:r w:rsidR="006A1DF8" w:rsidRPr="00A02C71">
        <w:rPr>
          <w:rFonts w:eastAsia="Times New Roman" w:cs="Times New Roman"/>
        </w:rPr>
        <w:t xml:space="preserve"> nepochybně mít měla. Současně je třeba konstatovat, že ku prospěchu práce by bezpochyby bylo, kdyby si autor vymezil </w:t>
      </w:r>
      <w:r w:rsidR="006A1DF8">
        <w:rPr>
          <w:rFonts w:eastAsia="Times New Roman" w:cs="Times New Roman"/>
        </w:rPr>
        <w:t xml:space="preserve">sporné otázky, kterým by se v práci věnoval, či pokud by alespoň podrobil popisovanou právní úpravu kritické </w:t>
      </w:r>
      <w:r>
        <w:rPr>
          <w:rFonts w:eastAsia="Times New Roman" w:cs="Times New Roman"/>
        </w:rPr>
        <w:t>analýze.</w:t>
      </w:r>
    </w:p>
    <w:p w14:paraId="6B2ACA94" w14:textId="458659F3" w:rsidR="0083339B" w:rsidRDefault="0083339B" w:rsidP="0083339B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Text práce byl ověřen systémem THESES.CZ, podle něhož je shoda s jiným pramenem 12 %.</w:t>
      </w:r>
    </w:p>
    <w:p w14:paraId="4E35AA46" w14:textId="67F08C01" w:rsidR="00021088" w:rsidRDefault="00021088" w:rsidP="00021088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Předloženou diplomovou práci lze doporučit k obhajobě, přičemž s ohledem na výše zmiňované navrhuji její hodnocení, v závislosti na průběhu a úrovni ústní obhajoby, prozatím stupněm „dobře.“</w:t>
      </w:r>
    </w:p>
    <w:p w14:paraId="737CBAD2" w14:textId="1D2AE45C" w:rsidR="00235E4A" w:rsidRPr="00425ED8" w:rsidRDefault="00235E4A" w:rsidP="007B5515">
      <w:pPr>
        <w:jc w:val="both"/>
        <w:rPr>
          <w:rFonts w:eastAsia="Times New Roman" w:cs="Times New Roman"/>
        </w:rPr>
      </w:pPr>
    </w:p>
    <w:p w14:paraId="1C4618D0" w14:textId="77777777"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5. Otázky a připomínky doporučené k rozpravě při obhajobě:</w:t>
      </w:r>
    </w:p>
    <w:p w14:paraId="115980A8" w14:textId="295FD91A" w:rsidR="00FE046E" w:rsidRDefault="007C0AF0" w:rsidP="00395E1A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rámci ústní obhajoby navrhuji, aby se autor vyjádřil k výše uvedeným připomínkám a závěrům, ke kterým ve své diplomové práci dospěl. Dále navrhuji, aby se autor vyjádřil ke</w:t>
      </w:r>
      <w:r w:rsidR="00395E1A">
        <w:rPr>
          <w:rFonts w:eastAsia="Times New Roman" w:cs="Times New Roman"/>
        </w:rPr>
        <w:t> </w:t>
      </w:r>
      <w:r>
        <w:rPr>
          <w:rFonts w:eastAsia="Times New Roman" w:cs="Times New Roman"/>
        </w:rPr>
        <w:t>sporným otázkám</w:t>
      </w:r>
      <w:r w:rsidR="00395E1A">
        <w:rPr>
          <w:rFonts w:eastAsia="Times New Roman" w:cs="Times New Roman"/>
        </w:rPr>
        <w:t xml:space="preserve">, které při zkoumání právní úpravy zjistil a jím avizovaným úvahám </w:t>
      </w:r>
      <w:r w:rsidR="00395E1A" w:rsidRPr="00395E1A">
        <w:rPr>
          <w:rFonts w:eastAsia="Times New Roman" w:cs="Times New Roman"/>
          <w:i/>
          <w:iCs/>
        </w:rPr>
        <w:t>de</w:t>
      </w:r>
      <w:r w:rsidR="00395E1A">
        <w:rPr>
          <w:rFonts w:eastAsia="Times New Roman" w:cs="Times New Roman"/>
          <w:i/>
          <w:iCs/>
        </w:rPr>
        <w:t> </w:t>
      </w:r>
      <w:r w:rsidR="00395E1A" w:rsidRPr="00395E1A">
        <w:rPr>
          <w:rFonts w:eastAsia="Times New Roman" w:cs="Times New Roman"/>
          <w:i/>
          <w:iCs/>
        </w:rPr>
        <w:t xml:space="preserve">lege </w:t>
      </w:r>
      <w:proofErr w:type="spellStart"/>
      <w:r w:rsidR="00395E1A" w:rsidRPr="00395E1A">
        <w:rPr>
          <w:rFonts w:eastAsia="Times New Roman" w:cs="Times New Roman"/>
          <w:i/>
          <w:iCs/>
        </w:rPr>
        <w:t>ferenda</w:t>
      </w:r>
      <w:proofErr w:type="spellEnd"/>
      <w:r w:rsidR="00395E1A">
        <w:rPr>
          <w:rFonts w:eastAsia="Times New Roman" w:cs="Times New Roman"/>
        </w:rPr>
        <w:t xml:space="preserve">, a též k soudnímu přezkumu </w:t>
      </w:r>
      <w:r w:rsidR="00FE046E">
        <w:rPr>
          <w:rFonts w:eastAsia="Times New Roman" w:cs="Times New Roman"/>
        </w:rPr>
        <w:t>rozhodnutí o vyvlastnění, zejména k</w:t>
      </w:r>
      <w:r w:rsidR="0089227F">
        <w:rPr>
          <w:rFonts w:eastAsia="Times New Roman" w:cs="Times New Roman"/>
        </w:rPr>
        <w:t> duálnímu přezkumu vyvlastňovacího řízení, odkladnému účinku žaloby a k otázce, zda je nezbytné, pokud vyvlastňovaný nesouhlasí jak s rozhodnutím o vyvlastnění, tak s výší náhrady, podávat jak správní žalobu, tak žalobu dle páté části o.s.ř.</w:t>
      </w:r>
    </w:p>
    <w:p w14:paraId="572C0111" w14:textId="612B659A" w:rsidR="00003DCD" w:rsidRDefault="00003DCD" w:rsidP="00003DCD">
      <w:pPr>
        <w:ind w:firstLine="709"/>
        <w:jc w:val="both"/>
        <w:rPr>
          <w:rFonts w:eastAsia="Times New Roman" w:cs="Times New Roman"/>
        </w:rPr>
      </w:pPr>
    </w:p>
    <w:p w14:paraId="4D0B1E07" w14:textId="77777777" w:rsidR="00395E1A" w:rsidRDefault="00395E1A" w:rsidP="00425ED8">
      <w:pPr>
        <w:jc w:val="both"/>
        <w:rPr>
          <w:rFonts w:eastAsia="Times New Roman" w:cs="Times New Roman"/>
        </w:rPr>
      </w:pPr>
    </w:p>
    <w:p w14:paraId="6A6BB013" w14:textId="238DB969" w:rsidR="00913690" w:rsidRPr="00425ED8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 Plzni dne</w:t>
      </w:r>
      <w:r w:rsidR="00D22003">
        <w:rPr>
          <w:rFonts w:eastAsia="Times New Roman" w:cs="Times New Roman"/>
          <w:b/>
        </w:rPr>
        <w:t xml:space="preserve"> 5.12.</w:t>
      </w:r>
      <w:r w:rsidR="0073582B">
        <w:rPr>
          <w:rFonts w:eastAsia="Times New Roman" w:cs="Times New Roman"/>
          <w:b/>
        </w:rPr>
        <w:t>2022</w:t>
      </w:r>
      <w:r w:rsidR="00003DCD" w:rsidRPr="00425ED8">
        <w:rPr>
          <w:rFonts w:eastAsia="Times New Roman" w:cs="Times New Roman"/>
          <w:b/>
        </w:rPr>
        <w:t xml:space="preserve"> </w:t>
      </w:r>
    </w:p>
    <w:p w14:paraId="404EB2B4" w14:textId="77777777" w:rsidR="00425ED8" w:rsidRDefault="00425ED8" w:rsidP="00425ED8">
      <w:pPr>
        <w:jc w:val="both"/>
        <w:rPr>
          <w:rFonts w:eastAsia="Times New Roman" w:cs="Times New Roman"/>
          <w:b/>
        </w:rPr>
      </w:pPr>
    </w:p>
    <w:p w14:paraId="262A6927" w14:textId="77777777" w:rsidR="00003DCD" w:rsidRDefault="00003DCD" w:rsidP="00425ED8">
      <w:pPr>
        <w:jc w:val="both"/>
        <w:rPr>
          <w:rFonts w:eastAsia="Times New Roman" w:cs="Times New Roman"/>
          <w:b/>
        </w:rPr>
      </w:pPr>
    </w:p>
    <w:p w14:paraId="4410B4C4" w14:textId="77777777" w:rsidR="00003DCD" w:rsidRPr="00425ED8" w:rsidRDefault="00003DCD" w:rsidP="00425ED8">
      <w:pPr>
        <w:jc w:val="both"/>
        <w:rPr>
          <w:rFonts w:eastAsia="Times New Roman" w:cs="Times New Roman"/>
          <w:b/>
        </w:rPr>
      </w:pPr>
    </w:p>
    <w:p w14:paraId="4FF39480" w14:textId="7A5325FF" w:rsidR="00425ED8" w:rsidRPr="00425ED8" w:rsidRDefault="00235E4A" w:rsidP="00425ED8">
      <w:pPr>
        <w:ind w:left="4248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</w:t>
      </w:r>
      <w:r w:rsidR="007D580F">
        <w:rPr>
          <w:rFonts w:eastAsia="Times New Roman" w:cs="Times New Roman"/>
          <w:b/>
        </w:rPr>
        <w:t xml:space="preserve">       </w:t>
      </w:r>
      <w:r>
        <w:rPr>
          <w:rFonts w:eastAsia="Times New Roman" w:cs="Times New Roman"/>
          <w:b/>
        </w:rPr>
        <w:t xml:space="preserve">   </w:t>
      </w:r>
      <w:r w:rsidR="007D580F">
        <w:rPr>
          <w:rFonts w:eastAsia="Times New Roman" w:cs="Times New Roman"/>
          <w:b/>
        </w:rPr>
        <w:t>JUDr. Jana Balounová</w:t>
      </w:r>
      <w:r w:rsidR="000B1716">
        <w:rPr>
          <w:rFonts w:eastAsia="Times New Roman" w:cs="Times New Roman"/>
          <w:b/>
        </w:rPr>
        <w:t>, Ph.D.</w:t>
      </w:r>
    </w:p>
    <w:p w14:paraId="4E94CF69" w14:textId="4A1F581E" w:rsidR="00E2615B" w:rsidRDefault="00235E4A">
      <w:r>
        <w:t xml:space="preserve">  </w:t>
      </w:r>
    </w:p>
    <w:sectPr w:rsidR="00E261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9ABB" w14:textId="77777777" w:rsidR="00956B10" w:rsidRDefault="00956B10">
      <w:r>
        <w:separator/>
      </w:r>
    </w:p>
  </w:endnote>
  <w:endnote w:type="continuationSeparator" w:id="0">
    <w:p w14:paraId="73679A5C" w14:textId="77777777" w:rsidR="00956B10" w:rsidRDefault="0095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64C" w14:textId="77777777"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0AA4">
      <w:rPr>
        <w:noProof/>
      </w:rPr>
      <w:t>3</w:t>
    </w:r>
    <w:r>
      <w:fldChar w:fldCharType="end"/>
    </w:r>
  </w:p>
  <w:p w14:paraId="1661FB12" w14:textId="77777777" w:rsidR="00E95834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9223" w14:textId="77777777" w:rsidR="00956B10" w:rsidRDefault="00956B10">
      <w:r>
        <w:separator/>
      </w:r>
    </w:p>
  </w:footnote>
  <w:footnote w:type="continuationSeparator" w:id="0">
    <w:p w14:paraId="73BF4370" w14:textId="77777777" w:rsidR="00956B10" w:rsidRDefault="0095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797"/>
    <w:multiLevelType w:val="hybridMultilevel"/>
    <w:tmpl w:val="A16A04BA"/>
    <w:lvl w:ilvl="0" w:tplc="9A063D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7C21"/>
    <w:multiLevelType w:val="hybridMultilevel"/>
    <w:tmpl w:val="A61C252A"/>
    <w:lvl w:ilvl="0" w:tplc="259C24F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41955530">
    <w:abstractNumId w:val="1"/>
  </w:num>
  <w:num w:numId="2" w16cid:durableId="28267697">
    <w:abstractNumId w:val="0"/>
  </w:num>
  <w:num w:numId="3" w16cid:durableId="9044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8"/>
    <w:rsid w:val="00003DCD"/>
    <w:rsid w:val="00021088"/>
    <w:rsid w:val="00035353"/>
    <w:rsid w:val="0004669C"/>
    <w:rsid w:val="0005432A"/>
    <w:rsid w:val="000A1C7B"/>
    <w:rsid w:val="000B1716"/>
    <w:rsid w:val="000F378F"/>
    <w:rsid w:val="001424FF"/>
    <w:rsid w:val="001630FA"/>
    <w:rsid w:val="0016733B"/>
    <w:rsid w:val="00193F6F"/>
    <w:rsid w:val="00201BA7"/>
    <w:rsid w:val="00235E4A"/>
    <w:rsid w:val="00256DE3"/>
    <w:rsid w:val="00265787"/>
    <w:rsid w:val="00274985"/>
    <w:rsid w:val="00280AA4"/>
    <w:rsid w:val="002C6532"/>
    <w:rsid w:val="002F6DE1"/>
    <w:rsid w:val="003862B0"/>
    <w:rsid w:val="00395E1A"/>
    <w:rsid w:val="003A0B8D"/>
    <w:rsid w:val="003B5585"/>
    <w:rsid w:val="003D2B00"/>
    <w:rsid w:val="0040030E"/>
    <w:rsid w:val="00412A3F"/>
    <w:rsid w:val="00425ED8"/>
    <w:rsid w:val="00451BB5"/>
    <w:rsid w:val="00461CFD"/>
    <w:rsid w:val="004B0D9B"/>
    <w:rsid w:val="004B5542"/>
    <w:rsid w:val="004D644F"/>
    <w:rsid w:val="00502E62"/>
    <w:rsid w:val="00515C0D"/>
    <w:rsid w:val="00532ABC"/>
    <w:rsid w:val="005533A8"/>
    <w:rsid w:val="00583298"/>
    <w:rsid w:val="005971E6"/>
    <w:rsid w:val="005A7D23"/>
    <w:rsid w:val="005B6819"/>
    <w:rsid w:val="0062672F"/>
    <w:rsid w:val="00640E38"/>
    <w:rsid w:val="006513DD"/>
    <w:rsid w:val="00682B17"/>
    <w:rsid w:val="00695AE2"/>
    <w:rsid w:val="006A1DF8"/>
    <w:rsid w:val="006F3506"/>
    <w:rsid w:val="00703832"/>
    <w:rsid w:val="0073582B"/>
    <w:rsid w:val="007403D6"/>
    <w:rsid w:val="00750182"/>
    <w:rsid w:val="00764AA7"/>
    <w:rsid w:val="00774701"/>
    <w:rsid w:val="0078118D"/>
    <w:rsid w:val="0079604A"/>
    <w:rsid w:val="007A727A"/>
    <w:rsid w:val="007B5515"/>
    <w:rsid w:val="007C0AF0"/>
    <w:rsid w:val="007D580F"/>
    <w:rsid w:val="0083339B"/>
    <w:rsid w:val="0089227F"/>
    <w:rsid w:val="008B1A79"/>
    <w:rsid w:val="008F696C"/>
    <w:rsid w:val="00913690"/>
    <w:rsid w:val="00956B10"/>
    <w:rsid w:val="00983F7F"/>
    <w:rsid w:val="00996978"/>
    <w:rsid w:val="00997BD3"/>
    <w:rsid w:val="009A365D"/>
    <w:rsid w:val="009B6356"/>
    <w:rsid w:val="009D25B3"/>
    <w:rsid w:val="00A0259D"/>
    <w:rsid w:val="00A0537D"/>
    <w:rsid w:val="00A20982"/>
    <w:rsid w:val="00AC2FB0"/>
    <w:rsid w:val="00AE0AA6"/>
    <w:rsid w:val="00B23F47"/>
    <w:rsid w:val="00B5330C"/>
    <w:rsid w:val="00B6134F"/>
    <w:rsid w:val="00B6675E"/>
    <w:rsid w:val="00B76894"/>
    <w:rsid w:val="00B778CD"/>
    <w:rsid w:val="00BB5FB4"/>
    <w:rsid w:val="00BD07E8"/>
    <w:rsid w:val="00BD6D3D"/>
    <w:rsid w:val="00C02546"/>
    <w:rsid w:val="00C25661"/>
    <w:rsid w:val="00C516D2"/>
    <w:rsid w:val="00C54855"/>
    <w:rsid w:val="00CB15E2"/>
    <w:rsid w:val="00D22003"/>
    <w:rsid w:val="00D307F1"/>
    <w:rsid w:val="00D33401"/>
    <w:rsid w:val="00D81ECD"/>
    <w:rsid w:val="00D82196"/>
    <w:rsid w:val="00D84B7D"/>
    <w:rsid w:val="00DC0ED1"/>
    <w:rsid w:val="00E2615B"/>
    <w:rsid w:val="00E42456"/>
    <w:rsid w:val="00E7705D"/>
    <w:rsid w:val="00E91731"/>
    <w:rsid w:val="00EF5FF5"/>
    <w:rsid w:val="00F1760E"/>
    <w:rsid w:val="00F3164A"/>
    <w:rsid w:val="00F442C4"/>
    <w:rsid w:val="00FB4E04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24E"/>
  <w15:docId w15:val="{3A45542B-1565-4F25-9C12-F040BC3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Jana Balounová</cp:lastModifiedBy>
  <cp:revision>8</cp:revision>
  <dcterms:created xsi:type="dcterms:W3CDTF">2022-09-04T15:20:00Z</dcterms:created>
  <dcterms:modified xsi:type="dcterms:W3CDTF">2022-12-05T16:36:00Z</dcterms:modified>
</cp:coreProperties>
</file>